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8F" w:rsidRDefault="00614A8F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614A8F" w:rsidRDefault="00614A8F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B57623" w:rsidRPr="007358CF" w:rsidRDefault="00B57623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B57623" w:rsidRPr="007358CF" w:rsidRDefault="00B57623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B57623" w:rsidRPr="007358CF" w:rsidRDefault="00B57623" w:rsidP="00614A8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9E164D" w:rsidRDefault="009E164D" w:rsidP="0076319E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6319E" w:rsidRDefault="0076319E" w:rsidP="0076319E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6319E" w:rsidRDefault="0076319E" w:rsidP="0076319E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76319E" w:rsidRDefault="0076319E" w:rsidP="007631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64D" w:rsidRDefault="009E164D" w:rsidP="00614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64D" w:rsidRDefault="009E164D" w:rsidP="00614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B45" w:rsidRPr="00F950BA" w:rsidRDefault="0094012E" w:rsidP="00614A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» </w:t>
      </w:r>
      <w:r w:rsidR="009E164D">
        <w:rPr>
          <w:rFonts w:ascii="Times New Roman" w:hAnsi="Times New Roman" w:cs="Times New Roman"/>
          <w:sz w:val="28"/>
          <w:szCs w:val="28"/>
        </w:rPr>
        <w:t>до 31.12.2015г. являлось</w:t>
      </w:r>
      <w:r w:rsidRPr="00F950BA">
        <w:rPr>
          <w:rFonts w:ascii="Times New Roman" w:hAnsi="Times New Roman" w:cs="Times New Roman"/>
          <w:sz w:val="28"/>
          <w:szCs w:val="28"/>
        </w:rPr>
        <w:t xml:space="preserve"> </w:t>
      </w:r>
      <w:r w:rsidR="004E2EE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F950BA">
        <w:rPr>
          <w:rFonts w:ascii="Times New Roman" w:hAnsi="Times New Roman" w:cs="Times New Roman"/>
          <w:sz w:val="28"/>
          <w:szCs w:val="28"/>
        </w:rPr>
        <w:t>сетевой организацией, осуществляющей передачу электрической энергии по сетям НН и СН</w:t>
      </w:r>
      <w:proofErr w:type="gramStart"/>
      <w:r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34768" w:rsidRPr="00F950BA">
        <w:rPr>
          <w:rFonts w:ascii="Times New Roman" w:hAnsi="Times New Roman" w:cs="Times New Roman"/>
          <w:sz w:val="28"/>
          <w:szCs w:val="28"/>
        </w:rPr>
        <w:t xml:space="preserve"> в </w:t>
      </w:r>
      <w:r w:rsidR="00534768"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г. Липецке, р-он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Цемзавода</w:t>
      </w:r>
      <w:r w:rsidRPr="00F950BA">
        <w:rPr>
          <w:rFonts w:ascii="Times New Roman" w:hAnsi="Times New Roman" w:cs="Times New Roman"/>
          <w:sz w:val="28"/>
          <w:szCs w:val="28"/>
        </w:rPr>
        <w:t xml:space="preserve">. Передаваемая электроэнергия соответствует стандартам </w:t>
      </w:r>
      <w:r w:rsidR="00303B8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03B8C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й категории надежности </w:t>
      </w:r>
      <w:r w:rsidRPr="006926E7">
        <w:rPr>
          <w:rFonts w:ascii="Times New Roman" w:hAnsi="Times New Roman" w:cs="Times New Roman"/>
          <w:sz w:val="28"/>
          <w:szCs w:val="28"/>
        </w:rPr>
        <w:t>(</w:t>
      </w:r>
      <w:r w:rsidR="004E2EE7" w:rsidRPr="006926E7">
        <w:rPr>
          <w:rFonts w:ascii="Times New Roman" w:hAnsi="Times New Roman" w:cs="Times New Roman"/>
          <w:sz w:val="28"/>
          <w:szCs w:val="28"/>
        </w:rPr>
        <w:t>ГОСТ Р 54149-2010</w:t>
      </w:r>
      <w:r w:rsidR="006926E7" w:rsidRPr="006926E7">
        <w:rPr>
          <w:rFonts w:ascii="Times New Roman" w:hAnsi="Times New Roman" w:cs="Times New Roman"/>
          <w:sz w:val="28"/>
          <w:szCs w:val="28"/>
        </w:rPr>
        <w:t xml:space="preserve">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  <w:r w:rsidRPr="006926E7">
        <w:rPr>
          <w:rFonts w:ascii="Times New Roman" w:hAnsi="Times New Roman" w:cs="Times New Roman"/>
          <w:sz w:val="28"/>
          <w:szCs w:val="28"/>
        </w:rPr>
        <w:t>).</w:t>
      </w: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02B7" w:rsidRPr="00C23657" w:rsidRDefault="00BF02D1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E164D">
        <w:rPr>
          <w:rFonts w:ascii="Times New Roman" w:hAnsi="Times New Roman" w:cs="Times New Roman"/>
          <w:sz w:val="28"/>
          <w:szCs w:val="28"/>
        </w:rPr>
        <w:t>01.01.</w:t>
      </w:r>
      <w:r w:rsidR="00534768" w:rsidRPr="00F950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4768" w:rsidRPr="00F950B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E16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E164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9E164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54D01" w:rsidRPr="00F950BA">
        <w:rPr>
          <w:rFonts w:ascii="Times New Roman" w:hAnsi="Times New Roman" w:cs="Times New Roman"/>
          <w:sz w:val="28"/>
          <w:szCs w:val="28"/>
        </w:rPr>
        <w:t>Управлени</w:t>
      </w:r>
      <w:r w:rsidR="009E164D">
        <w:rPr>
          <w:rFonts w:ascii="Times New Roman" w:hAnsi="Times New Roman" w:cs="Times New Roman"/>
          <w:sz w:val="28"/>
          <w:szCs w:val="28"/>
        </w:rPr>
        <w:t>я</w:t>
      </w:r>
      <w:r w:rsidR="00354D01" w:rsidRPr="00F950BA">
        <w:rPr>
          <w:rFonts w:ascii="Times New Roman" w:hAnsi="Times New Roman" w:cs="Times New Roman"/>
          <w:sz w:val="28"/>
          <w:szCs w:val="28"/>
        </w:rPr>
        <w:t xml:space="preserve"> </w:t>
      </w:r>
      <w:r w:rsidR="009E164D">
        <w:rPr>
          <w:rFonts w:ascii="Times New Roman" w:hAnsi="Times New Roman" w:cs="Times New Roman"/>
          <w:sz w:val="28"/>
          <w:szCs w:val="28"/>
        </w:rPr>
        <w:t xml:space="preserve">энергетики и </w:t>
      </w:r>
      <w:r w:rsidR="00354D01" w:rsidRPr="00F950BA">
        <w:rPr>
          <w:rFonts w:ascii="Times New Roman" w:hAnsi="Times New Roman" w:cs="Times New Roman"/>
          <w:sz w:val="28"/>
          <w:szCs w:val="28"/>
        </w:rPr>
        <w:t xml:space="preserve">тарифов по Липецкой области </w:t>
      </w:r>
      <w:r w:rsidR="009E164D">
        <w:rPr>
          <w:rFonts w:ascii="Times New Roman" w:hAnsi="Times New Roman" w:cs="Times New Roman"/>
          <w:sz w:val="28"/>
          <w:szCs w:val="28"/>
        </w:rPr>
        <w:t xml:space="preserve">от 28.12.2015г. №55/2 «О единых (котловых) тарифах на услуги по передаче электрической энергии на территории Липецкой области на 2016 год» </w:t>
      </w:r>
      <w:r w:rsidR="009E164D" w:rsidRPr="00F950B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E164D"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="009E164D" w:rsidRPr="00F950BA">
        <w:rPr>
          <w:rFonts w:ascii="Times New Roman" w:hAnsi="Times New Roman" w:cs="Times New Roman"/>
          <w:sz w:val="28"/>
          <w:szCs w:val="28"/>
        </w:rPr>
        <w:t>»</w:t>
      </w:r>
      <w:r w:rsidR="009E164D">
        <w:rPr>
          <w:rFonts w:ascii="Times New Roman" w:hAnsi="Times New Roman" w:cs="Times New Roman"/>
          <w:sz w:val="28"/>
          <w:szCs w:val="28"/>
        </w:rPr>
        <w:t xml:space="preserve"> теряет статус территориальной сетевой организации</w:t>
      </w:r>
      <w:r w:rsidR="00534768" w:rsidRPr="00F950BA">
        <w:rPr>
          <w:rFonts w:ascii="Times New Roman" w:hAnsi="Times New Roman" w:cs="Times New Roman"/>
          <w:sz w:val="28"/>
          <w:szCs w:val="28"/>
        </w:rPr>
        <w:t>.</w:t>
      </w:r>
      <w:r w:rsidR="009E164D">
        <w:rPr>
          <w:rFonts w:ascii="Times New Roman" w:hAnsi="Times New Roman" w:cs="Times New Roman"/>
          <w:sz w:val="28"/>
          <w:szCs w:val="28"/>
        </w:rPr>
        <w:t xml:space="preserve"> Договор оказания услуг по передаче электрической энергии от 10.12.2007г. №751 между ПАО «МРСК «Центра</w:t>
      </w:r>
      <w:proofErr w:type="gramStart"/>
      <w:r w:rsidR="009E164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9E16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164D">
        <w:rPr>
          <w:rFonts w:ascii="Times New Roman" w:hAnsi="Times New Roman" w:cs="Times New Roman"/>
          <w:sz w:val="28"/>
          <w:szCs w:val="28"/>
        </w:rPr>
        <w:t>Липецкэнерго</w:t>
      </w:r>
      <w:proofErr w:type="spellEnd"/>
      <w:r w:rsidR="009E164D">
        <w:rPr>
          <w:rFonts w:ascii="Times New Roman" w:hAnsi="Times New Roman" w:cs="Times New Roman"/>
          <w:sz w:val="28"/>
          <w:szCs w:val="28"/>
        </w:rPr>
        <w:t>» и АО «</w:t>
      </w:r>
      <w:proofErr w:type="spellStart"/>
      <w:r w:rsidR="009E164D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="009E164D">
        <w:rPr>
          <w:rFonts w:ascii="Times New Roman" w:hAnsi="Times New Roman" w:cs="Times New Roman"/>
          <w:sz w:val="28"/>
          <w:szCs w:val="28"/>
        </w:rPr>
        <w:t>» расторгнут (дополнительное соглашение от 12.01.2016г.).</w:t>
      </w:r>
    </w:p>
    <w:p w:rsidR="003A0715" w:rsidRDefault="003A0715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2D6" w:rsidRDefault="001E22D6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57" w:rsidRPr="001E22D6" w:rsidRDefault="00C23657" w:rsidP="001E22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lastRenderedPageBreak/>
        <w:t>По итогам 201</w:t>
      </w:r>
      <w:r w:rsidR="00BF02D1">
        <w:rPr>
          <w:rFonts w:ascii="Times New Roman" w:hAnsi="Times New Roman" w:cs="Times New Roman"/>
          <w:sz w:val="28"/>
          <w:szCs w:val="28"/>
        </w:rPr>
        <w:t>5</w:t>
      </w:r>
      <w:r w:rsidR="009E164D">
        <w:rPr>
          <w:rFonts w:ascii="Times New Roman" w:hAnsi="Times New Roman" w:cs="Times New Roman"/>
          <w:sz w:val="28"/>
          <w:szCs w:val="28"/>
        </w:rPr>
        <w:t xml:space="preserve">г. </w:t>
      </w:r>
      <w:r w:rsidRPr="00F950B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950BA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Pr="00F950BA">
        <w:rPr>
          <w:rFonts w:ascii="Times New Roman" w:hAnsi="Times New Roman" w:cs="Times New Roman"/>
          <w:sz w:val="28"/>
          <w:szCs w:val="28"/>
        </w:rPr>
        <w:t xml:space="preserve">» потребило электроэнергии в объеме </w:t>
      </w:r>
      <w:r w:rsidR="00417A5E" w:rsidRPr="00417A5E">
        <w:rPr>
          <w:rFonts w:ascii="Times New Roman" w:hAnsi="Times New Roman" w:cs="Times New Roman"/>
          <w:b/>
          <w:i/>
          <w:sz w:val="28"/>
          <w:szCs w:val="28"/>
        </w:rPr>
        <w:t>106</w:t>
      </w:r>
      <w:r w:rsidR="00417A5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417A5E" w:rsidRPr="00417A5E">
        <w:rPr>
          <w:rFonts w:ascii="Times New Roman" w:hAnsi="Times New Roman" w:cs="Times New Roman"/>
          <w:b/>
          <w:i/>
          <w:sz w:val="28"/>
          <w:szCs w:val="28"/>
        </w:rPr>
        <w:t>344</w:t>
      </w:r>
      <w:r w:rsidR="00417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7A5E" w:rsidRPr="00417A5E">
        <w:rPr>
          <w:rFonts w:ascii="Times New Roman" w:hAnsi="Times New Roman" w:cs="Times New Roman"/>
          <w:b/>
          <w:i/>
          <w:sz w:val="28"/>
          <w:szCs w:val="28"/>
        </w:rPr>
        <w:t>710</w:t>
      </w:r>
      <w:r w:rsidR="00417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кВт*ч</w:t>
      </w:r>
      <w:r w:rsidRPr="00F950BA">
        <w:rPr>
          <w:rFonts w:ascii="Times New Roman" w:hAnsi="Times New Roman" w:cs="Times New Roman"/>
          <w:sz w:val="28"/>
          <w:szCs w:val="28"/>
        </w:rPr>
        <w:t xml:space="preserve">. Присоединенная мощность субабонентов –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0,23</w:t>
      </w:r>
      <w:r w:rsidR="00C8754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МВт</w:t>
      </w:r>
      <w:r w:rsidRPr="00F950BA">
        <w:rPr>
          <w:rFonts w:ascii="Times New Roman" w:hAnsi="Times New Roman" w:cs="Times New Roman"/>
          <w:sz w:val="28"/>
          <w:szCs w:val="28"/>
        </w:rPr>
        <w:t xml:space="preserve">. Объем электроэнергии, переданной субабонентам, составил </w:t>
      </w:r>
      <w:r w:rsidR="00417A5E">
        <w:rPr>
          <w:rFonts w:ascii="Times New Roman" w:hAnsi="Times New Roman" w:cs="Times New Roman"/>
          <w:b/>
          <w:i/>
          <w:sz w:val="28"/>
          <w:szCs w:val="28"/>
        </w:rPr>
        <w:t>892 843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кВт*</w:t>
      </w:r>
      <w:proofErr w:type="gramStart"/>
      <w:r w:rsidRPr="00F950BA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gramEnd"/>
      <w:r w:rsidRPr="00F950BA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E164D">
        <w:rPr>
          <w:rFonts w:ascii="Times New Roman" w:hAnsi="Times New Roman" w:cs="Times New Roman"/>
          <w:sz w:val="28"/>
          <w:szCs w:val="28"/>
        </w:rPr>
        <w:t>1</w:t>
      </w:r>
      <w:r w:rsidRPr="00F950BA">
        <w:rPr>
          <w:rFonts w:ascii="Times New Roman" w:hAnsi="Times New Roman" w:cs="Times New Roman"/>
          <w:sz w:val="28"/>
          <w:szCs w:val="28"/>
        </w:rPr>
        <w:t>).</w:t>
      </w:r>
    </w:p>
    <w:p w:rsidR="00C23657" w:rsidRPr="00F950BA" w:rsidRDefault="00C23657" w:rsidP="00C236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Таблица </w:t>
      </w:r>
      <w:r w:rsidR="009E164D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jc w:val="center"/>
        <w:tblInd w:w="3881" w:type="dxa"/>
        <w:tblLook w:val="04A0"/>
      </w:tblPr>
      <w:tblGrid>
        <w:gridCol w:w="942"/>
        <w:gridCol w:w="3468"/>
        <w:gridCol w:w="1556"/>
        <w:gridCol w:w="1554"/>
      </w:tblGrid>
      <w:tr w:rsidR="00C23657" w:rsidRPr="00F950BA" w:rsidTr="00303B8C">
        <w:trPr>
          <w:jc w:val="center"/>
        </w:trPr>
        <w:tc>
          <w:tcPr>
            <w:tcW w:w="942" w:type="dxa"/>
            <w:vMerge w:val="restart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68" w:type="dxa"/>
            <w:vMerge w:val="restart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Субабоненты ЗАО «Липецкцемент»</w:t>
            </w:r>
          </w:p>
        </w:tc>
        <w:tc>
          <w:tcPr>
            <w:tcW w:w="3110" w:type="dxa"/>
            <w:gridSpan w:val="2"/>
            <w:vAlign w:val="center"/>
          </w:tcPr>
          <w:p w:rsidR="00C23657" w:rsidRPr="00F950BA" w:rsidRDefault="00C23657" w:rsidP="00417A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Объемы электроэнергии по ЛЭП за 201</w:t>
            </w:r>
            <w:r w:rsidR="00417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г., кВт*ч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Merge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F950B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ООО «Липецкое карьероуправление»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23657" w:rsidRPr="00F950BA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237 864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ОАО «Союзвзрывпром»</w:t>
            </w:r>
          </w:p>
        </w:tc>
        <w:tc>
          <w:tcPr>
            <w:tcW w:w="1556" w:type="dxa"/>
            <w:vAlign w:val="center"/>
          </w:tcPr>
          <w:p w:rsidR="00C23657" w:rsidRPr="00F950BA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25 559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ООО «Экосервис»</w:t>
            </w:r>
          </w:p>
        </w:tc>
        <w:tc>
          <w:tcPr>
            <w:tcW w:w="1556" w:type="dxa"/>
            <w:vAlign w:val="center"/>
          </w:tcPr>
          <w:p w:rsidR="00C23657" w:rsidRPr="00F950BA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2 485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СНО «Строитель»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23657" w:rsidRPr="00F950BA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407 940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ЧП Сокольских</w:t>
            </w:r>
          </w:p>
        </w:tc>
        <w:tc>
          <w:tcPr>
            <w:tcW w:w="1556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C23657" w:rsidRPr="00F950BA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174 906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Алиев</w:t>
            </w:r>
          </w:p>
        </w:tc>
        <w:tc>
          <w:tcPr>
            <w:tcW w:w="1556" w:type="dxa"/>
            <w:vAlign w:val="center"/>
          </w:tcPr>
          <w:p w:rsidR="00C23657" w:rsidRPr="00F950BA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10 836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ОАО «ЛГЭК»</w:t>
            </w:r>
          </w:p>
        </w:tc>
        <w:tc>
          <w:tcPr>
            <w:tcW w:w="1556" w:type="dxa"/>
            <w:vAlign w:val="center"/>
          </w:tcPr>
          <w:p w:rsidR="00C23657" w:rsidRPr="00F950BA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9 058</w:t>
            </w:r>
          </w:p>
        </w:tc>
        <w:tc>
          <w:tcPr>
            <w:tcW w:w="1554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4" w:rsidRPr="00F950BA" w:rsidTr="00303B8C">
        <w:trPr>
          <w:jc w:val="center"/>
        </w:trPr>
        <w:tc>
          <w:tcPr>
            <w:tcW w:w="942" w:type="dxa"/>
            <w:vAlign w:val="center"/>
          </w:tcPr>
          <w:p w:rsidR="00112914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  <w:vAlign w:val="center"/>
          </w:tcPr>
          <w:p w:rsidR="00112914" w:rsidRPr="00F950BA" w:rsidRDefault="00112914" w:rsidP="001129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14">
              <w:rPr>
                <w:rFonts w:ascii="Times New Roman" w:hAnsi="Times New Roman" w:cs="Times New Roman"/>
                <w:sz w:val="24"/>
                <w:szCs w:val="24"/>
              </w:rPr>
              <w:t xml:space="preserve">ФКУ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2914">
              <w:rPr>
                <w:rFonts w:ascii="Times New Roman" w:hAnsi="Times New Roman" w:cs="Times New Roman"/>
                <w:sz w:val="24"/>
                <w:szCs w:val="24"/>
              </w:rPr>
              <w:t>Черноземуправтодор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vAlign w:val="center"/>
          </w:tcPr>
          <w:p w:rsidR="00112914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9 249</w:t>
            </w:r>
          </w:p>
        </w:tc>
        <w:tc>
          <w:tcPr>
            <w:tcW w:w="1554" w:type="dxa"/>
            <w:vAlign w:val="center"/>
          </w:tcPr>
          <w:p w:rsidR="00112914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14" w:rsidRPr="00F950BA" w:rsidTr="00303B8C">
        <w:trPr>
          <w:jc w:val="center"/>
        </w:trPr>
        <w:tc>
          <w:tcPr>
            <w:tcW w:w="942" w:type="dxa"/>
            <w:vAlign w:val="center"/>
          </w:tcPr>
          <w:p w:rsidR="00112914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  <w:vAlign w:val="center"/>
          </w:tcPr>
          <w:p w:rsidR="00112914" w:rsidRPr="00112914" w:rsidRDefault="00112914" w:rsidP="001129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О.В.</w:t>
            </w:r>
          </w:p>
        </w:tc>
        <w:tc>
          <w:tcPr>
            <w:tcW w:w="1556" w:type="dxa"/>
            <w:vAlign w:val="center"/>
          </w:tcPr>
          <w:p w:rsidR="00112914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112914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14 946</w:t>
            </w:r>
          </w:p>
        </w:tc>
      </w:tr>
      <w:tr w:rsidR="00C23657" w:rsidRPr="00F950BA" w:rsidTr="00303B8C">
        <w:trPr>
          <w:jc w:val="center"/>
        </w:trPr>
        <w:tc>
          <w:tcPr>
            <w:tcW w:w="942" w:type="dxa"/>
            <w:vAlign w:val="center"/>
          </w:tcPr>
          <w:p w:rsidR="00C23657" w:rsidRPr="00F950BA" w:rsidRDefault="00112914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  <w:vAlign w:val="center"/>
          </w:tcPr>
          <w:p w:rsidR="00C23657" w:rsidRPr="00F950BA" w:rsidRDefault="00C23657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vAlign w:val="center"/>
          </w:tcPr>
          <w:p w:rsidR="00C23657" w:rsidRPr="00F950BA" w:rsidRDefault="00417A5E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57 187</w:t>
            </w:r>
          </w:p>
        </w:tc>
        <w:tc>
          <w:tcPr>
            <w:tcW w:w="1554" w:type="dxa"/>
            <w:vAlign w:val="center"/>
          </w:tcPr>
          <w:p w:rsidR="00C23657" w:rsidRPr="00F950BA" w:rsidRDefault="00417A5E" w:rsidP="00303B8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835 656</w:t>
            </w:r>
          </w:p>
        </w:tc>
      </w:tr>
    </w:tbl>
    <w:p w:rsidR="00C23657" w:rsidRDefault="00C23657" w:rsidP="00C236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</w:p>
    <w:p w:rsidR="00C23657" w:rsidRPr="00F950BA" w:rsidRDefault="00C23657" w:rsidP="00C23657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  <w:r w:rsidRPr="00F950BA">
        <w:rPr>
          <w:rFonts w:ascii="Times New Roman" w:hAnsi="Times New Roman" w:cs="Times New Roman"/>
          <w:sz w:val="24"/>
          <w:szCs w:val="24"/>
        </w:rPr>
        <w:tab/>
      </w:r>
    </w:p>
    <w:p w:rsidR="00C23657" w:rsidRPr="00F950BA" w:rsidRDefault="00C23657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t>Потери электроэнергии по сетям СН</w:t>
      </w:r>
      <w:r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0BA">
        <w:rPr>
          <w:rFonts w:ascii="Times New Roman" w:hAnsi="Times New Roman" w:cs="Times New Roman"/>
          <w:sz w:val="28"/>
          <w:szCs w:val="28"/>
        </w:rPr>
        <w:t xml:space="preserve"> за 20</w:t>
      </w:r>
      <w:r w:rsidR="00112914">
        <w:rPr>
          <w:rFonts w:ascii="Times New Roman" w:hAnsi="Times New Roman" w:cs="Times New Roman"/>
          <w:sz w:val="28"/>
          <w:szCs w:val="28"/>
        </w:rPr>
        <w:t>15</w:t>
      </w:r>
      <w:r w:rsidRPr="00F950BA">
        <w:rPr>
          <w:rFonts w:ascii="Times New Roman" w:hAnsi="Times New Roman" w:cs="Times New Roman"/>
          <w:sz w:val="28"/>
          <w:szCs w:val="28"/>
        </w:rPr>
        <w:t xml:space="preserve">г. составили </w:t>
      </w:r>
      <w:r w:rsidR="00E44162">
        <w:rPr>
          <w:rFonts w:ascii="Times New Roman" w:hAnsi="Times New Roman" w:cs="Times New Roman"/>
          <w:b/>
          <w:i/>
          <w:sz w:val="28"/>
          <w:szCs w:val="28"/>
        </w:rPr>
        <w:t>13 328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кВт*ч</w:t>
      </w:r>
      <w:r w:rsidRPr="00F950BA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598D">
        <w:rPr>
          <w:rFonts w:ascii="Times New Roman" w:hAnsi="Times New Roman" w:cs="Times New Roman"/>
          <w:b/>
          <w:i/>
          <w:sz w:val="28"/>
          <w:szCs w:val="28"/>
        </w:rPr>
        <w:t>,5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F950BA">
        <w:rPr>
          <w:rFonts w:ascii="Times New Roman" w:hAnsi="Times New Roman" w:cs="Times New Roman"/>
          <w:sz w:val="28"/>
          <w:szCs w:val="28"/>
        </w:rPr>
        <w:t xml:space="preserve"> от всего объема электроэнергии по сетям СН</w:t>
      </w:r>
      <w:r w:rsidRPr="00F950B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950BA">
        <w:rPr>
          <w:rFonts w:ascii="Times New Roman" w:hAnsi="Times New Roman" w:cs="Times New Roman"/>
          <w:sz w:val="28"/>
          <w:szCs w:val="28"/>
        </w:rPr>
        <w:t xml:space="preserve">. Размер фактических потерь, оплаченных потребителями, составил </w:t>
      </w:r>
      <w:r w:rsidR="0009598D">
        <w:rPr>
          <w:rFonts w:ascii="Times New Roman" w:hAnsi="Times New Roman" w:cs="Times New Roman"/>
          <w:b/>
          <w:i/>
          <w:sz w:val="28"/>
          <w:szCs w:val="28"/>
        </w:rPr>
        <w:t>13 328</w:t>
      </w:r>
      <w:r w:rsidR="0009598D" w:rsidRPr="00F95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50BA">
        <w:rPr>
          <w:rFonts w:ascii="Times New Roman" w:hAnsi="Times New Roman" w:cs="Times New Roman"/>
          <w:b/>
          <w:i/>
          <w:sz w:val="28"/>
          <w:szCs w:val="28"/>
        </w:rPr>
        <w:t>кВт*ч</w:t>
      </w:r>
      <w:r w:rsidRPr="00F950BA">
        <w:rPr>
          <w:rFonts w:ascii="Times New Roman" w:hAnsi="Times New Roman" w:cs="Times New Roman"/>
          <w:sz w:val="28"/>
          <w:szCs w:val="28"/>
        </w:rPr>
        <w:t>.</w:t>
      </w:r>
    </w:p>
    <w:p w:rsidR="00C23657" w:rsidRPr="00F950BA" w:rsidRDefault="00C23657" w:rsidP="00C236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информация о в</w:t>
      </w:r>
      <w:r w:rsidRPr="007B3E61">
        <w:rPr>
          <w:rFonts w:ascii="Times New Roman" w:hAnsi="Times New Roman" w:cs="Times New Roman"/>
          <w:sz w:val="28"/>
          <w:szCs w:val="28"/>
        </w:rPr>
        <w:t>еличин</w:t>
      </w:r>
      <w:r>
        <w:rPr>
          <w:rFonts w:ascii="Times New Roman" w:hAnsi="Times New Roman" w:cs="Times New Roman"/>
          <w:sz w:val="28"/>
          <w:szCs w:val="28"/>
        </w:rPr>
        <w:t>е потерь и уровне</w:t>
      </w:r>
      <w:r w:rsidRPr="007B3E61">
        <w:rPr>
          <w:rFonts w:ascii="Times New Roman" w:hAnsi="Times New Roman" w:cs="Times New Roman"/>
          <w:sz w:val="28"/>
          <w:szCs w:val="28"/>
        </w:rPr>
        <w:t xml:space="preserve"> качества реализуемых товаров (услуг)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опубликована в </w:t>
      </w:r>
      <w:r w:rsidRPr="007B3E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Липецкой газете</w:t>
      </w:r>
      <w:r w:rsidRPr="007B3E6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3E61">
        <w:rPr>
          <w:rFonts w:ascii="Times New Roman" w:hAnsi="Times New Roman" w:cs="Times New Roman"/>
          <w:sz w:val="28"/>
          <w:szCs w:val="28"/>
        </w:rPr>
        <w:t xml:space="preserve"> 249, 27.12.2014</w:t>
      </w:r>
      <w:r>
        <w:rPr>
          <w:rFonts w:ascii="Times New Roman" w:hAnsi="Times New Roman" w:cs="Times New Roman"/>
          <w:sz w:val="28"/>
          <w:szCs w:val="28"/>
        </w:rPr>
        <w:t>г.:</w:t>
      </w:r>
    </w:p>
    <w:p w:rsidR="00C23657" w:rsidRDefault="00C23657" w:rsidP="00C2365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Величина технологического расхода (потерь) электрической энергии (уровень потерь)</w:t>
      </w:r>
      <w:r>
        <w:rPr>
          <w:rFonts w:ascii="Times New Roman" w:hAnsi="Times New Roman" w:cs="Times New Roman"/>
          <w:sz w:val="28"/>
          <w:szCs w:val="28"/>
        </w:rPr>
        <w:t xml:space="preserve"> по сетям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составляет 0,6%, по сетям НН – 1,29%;</w:t>
      </w:r>
    </w:p>
    <w:p w:rsidR="00C23657" w:rsidRDefault="00C23657" w:rsidP="00C2365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Уровень качества реализуемых товаров (услуг)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657" w:rsidRDefault="00C23657" w:rsidP="00C23657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Показатель уровня качества осуществляемого технологического присоединения к сети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C23657" w:rsidRDefault="00C23657" w:rsidP="00C23657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E61">
        <w:rPr>
          <w:rFonts w:ascii="Times New Roman" w:hAnsi="Times New Roman" w:cs="Times New Roman"/>
          <w:sz w:val="28"/>
          <w:szCs w:val="28"/>
        </w:rPr>
        <w:t>Показатель уровня качества обслуживания потребителей услуг</w:t>
      </w:r>
      <w:r>
        <w:rPr>
          <w:rFonts w:ascii="Times New Roman" w:hAnsi="Times New Roman" w:cs="Times New Roman"/>
          <w:sz w:val="28"/>
          <w:szCs w:val="28"/>
        </w:rPr>
        <w:t xml:space="preserve"> – 0,8975.</w:t>
      </w:r>
    </w:p>
    <w:p w:rsidR="00C23657" w:rsidRDefault="00C23657" w:rsidP="00C2365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показатели утверждены Управл</w:t>
      </w:r>
      <w:r w:rsidR="0076319E">
        <w:rPr>
          <w:rFonts w:ascii="Times New Roman" w:hAnsi="Times New Roman" w:cs="Times New Roman"/>
          <w:sz w:val="28"/>
          <w:szCs w:val="28"/>
        </w:rPr>
        <w:t xml:space="preserve">ением энергетики и тарифов для </w:t>
      </w:r>
      <w:r>
        <w:rPr>
          <w:rFonts w:ascii="Times New Roman" w:hAnsi="Times New Roman" w:cs="Times New Roman"/>
          <w:sz w:val="28"/>
          <w:szCs w:val="28"/>
        </w:rPr>
        <w:t>АО «Липецкцемент» на период с 2015г. по 2019г.</w:t>
      </w:r>
    </w:p>
    <w:p w:rsidR="00B145F3" w:rsidRDefault="00B145F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A8F" w:rsidRDefault="00614A8F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164D" w:rsidRDefault="009E164D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A8F" w:rsidRDefault="00614A8F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3657" w:rsidRPr="00F950BA" w:rsidRDefault="00C23657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4" w:type="dxa"/>
        <w:jc w:val="center"/>
        <w:tblInd w:w="108" w:type="dxa"/>
        <w:tblLook w:val="04A0"/>
      </w:tblPr>
      <w:tblGrid>
        <w:gridCol w:w="4300"/>
        <w:gridCol w:w="855"/>
        <w:gridCol w:w="1660"/>
        <w:gridCol w:w="1065"/>
        <w:gridCol w:w="1134"/>
        <w:gridCol w:w="1632"/>
        <w:gridCol w:w="3808"/>
      </w:tblGrid>
      <w:tr w:rsidR="00B145F3" w:rsidRPr="00B145F3" w:rsidTr="00B145F3">
        <w:trPr>
          <w:trHeight w:val="70"/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b/>
                <w:bCs/>
                <w:color w:val="333333"/>
                <w:sz w:val="22"/>
                <w:szCs w:val="22"/>
              </w:rPr>
              <w:lastRenderedPageBreak/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</w:tr>
      <w:tr w:rsidR="00B145F3" w:rsidRPr="00B145F3" w:rsidTr="00614A8F">
        <w:trPr>
          <w:trHeight w:val="1005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2262B0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АО "Липецкцемент", 201</w:t>
            </w:r>
            <w:r w:rsidR="002262B0">
              <w:rPr>
                <w:color w:val="333333"/>
                <w:sz w:val="22"/>
                <w:szCs w:val="22"/>
              </w:rPr>
              <w:t>5</w:t>
            </w:r>
            <w:r w:rsidRPr="00B145F3">
              <w:rPr>
                <w:color w:val="333333"/>
                <w:sz w:val="22"/>
                <w:szCs w:val="22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Коды по ОКЕИ: 1000 киловатт-часов – 246, мегаватт – 215, тысяча рублей – 384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Код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 том числе по уровню напряжения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СН2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НН</w:t>
            </w:r>
          </w:p>
        </w:tc>
      </w:tr>
      <w:tr w:rsidR="00B145F3" w:rsidRPr="00B145F3" w:rsidTr="00614A8F">
        <w:trPr>
          <w:trHeight w:val="24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7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Электроэнергия (тыс. кВт ч)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из сетей ФСК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 генерирующих компаний и блок-станций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 смежных сетевых организаций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7C55C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107 242.8320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7C55C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107 185.6450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9A6762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57</w:t>
            </w:r>
            <w:r w:rsidR="00B145F3" w:rsidRPr="00B145F3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1870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7C55C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107 242.8320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7C55C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107 185.6450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9A6762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57</w:t>
            </w:r>
            <w:r w:rsidRPr="00B145F3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1870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НН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Отпуск из сети, в том числе: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7C55C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892.8430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7C55C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835.6560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9A6762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57</w:t>
            </w:r>
            <w:r w:rsidRPr="00B145F3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1870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7C55C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892.8430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7C55C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835.6560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9A6762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57</w:t>
            </w:r>
            <w:r w:rsidRPr="00B145F3">
              <w:rPr>
                <w:color w:val="333333"/>
                <w:sz w:val="22"/>
                <w:szCs w:val="22"/>
              </w:rPr>
              <w:t>.</w:t>
            </w:r>
            <w:r>
              <w:rPr>
                <w:color w:val="333333"/>
                <w:sz w:val="22"/>
                <w:szCs w:val="22"/>
              </w:rPr>
              <w:t>1870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население и приравненные к ним группы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другие сети, в том числе потребители имеющие статус ТСО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поставщики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Отпуск в сеть других уровней напряжения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Хозяйственные нужды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Генерация на установках организации (совмещение деятельности)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45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Собственное потребление (совмещение деятельности)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180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E6A60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106 344.7100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E6A60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106 344.7100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Потери,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84599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247.6710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84599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247.671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относимые на собственное потребление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84599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247.6710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845994" w:rsidP="00614A8F">
            <w:pPr>
              <w:jc w:val="right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247.671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614A8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Небаланс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</w:tr>
    </w:tbl>
    <w:p w:rsidR="00D9761C" w:rsidRPr="00F950BA" w:rsidRDefault="00D9761C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0"/>
        <w:gridCol w:w="855"/>
        <w:gridCol w:w="1660"/>
        <w:gridCol w:w="1206"/>
        <w:gridCol w:w="1134"/>
        <w:gridCol w:w="1418"/>
        <w:gridCol w:w="3858"/>
      </w:tblGrid>
      <w:tr w:rsidR="00B145F3" w:rsidRPr="00B145F3" w:rsidTr="00B145F3">
        <w:trPr>
          <w:trHeight w:val="240"/>
          <w:jc w:val="center"/>
        </w:trPr>
        <w:tc>
          <w:tcPr>
            <w:tcW w:w="14431" w:type="dxa"/>
            <w:gridSpan w:val="7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b/>
                <w:bCs/>
                <w:color w:val="333333"/>
                <w:sz w:val="22"/>
                <w:szCs w:val="22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</w:tr>
      <w:tr w:rsidR="00B145F3" w:rsidRPr="00B145F3" w:rsidTr="00B145F3">
        <w:trPr>
          <w:trHeight w:val="770"/>
          <w:jc w:val="center"/>
        </w:trPr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АО "Липецкцемент", 201</w:t>
            </w:r>
            <w:r w:rsidR="0065469E">
              <w:rPr>
                <w:color w:val="333333"/>
                <w:sz w:val="22"/>
                <w:szCs w:val="22"/>
              </w:rPr>
              <w:t>5</w:t>
            </w:r>
            <w:r w:rsidRPr="00B145F3">
              <w:rPr>
                <w:color w:val="333333"/>
                <w:sz w:val="22"/>
                <w:szCs w:val="22"/>
              </w:rPr>
              <w:t>г.</w:t>
            </w:r>
          </w:p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b/>
                <w:bCs/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Коды по ОКЕИ: 1000 киловатт-часов – 246, мегаватт – 215, тысяча рублей – 384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Код строки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Всего</w:t>
            </w:r>
          </w:p>
        </w:tc>
        <w:tc>
          <w:tcPr>
            <w:tcW w:w="7616" w:type="dxa"/>
            <w:gridSpan w:val="4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 том числе по уровню напряжения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vMerge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СН2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НН</w:t>
            </w:r>
          </w:p>
        </w:tc>
      </w:tr>
      <w:tr w:rsidR="00B145F3" w:rsidRPr="00B145F3" w:rsidTr="00B145F3">
        <w:trPr>
          <w:trHeight w:val="24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858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7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14431" w:type="dxa"/>
            <w:gridSpan w:val="7"/>
            <w:shd w:val="clear" w:color="auto" w:fill="auto"/>
            <w:noWrap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Мощность (МВт)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300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из сетей ФСК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310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 генерирующих компаний и блок-станций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320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 смежных сетевых организаций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330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340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23.3900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23.1520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0.2380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ВН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350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СН1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360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СН2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370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23.3900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23.1520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0.2380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НН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380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Отпуск из сети, в том числе: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390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1.4180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1.1800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0.2380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400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1.4180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1.1800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0.2380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население и приравненные к ним группы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410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другие сети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420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поставщики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430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Отпуск в сеть других уровней напряжения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440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Хозяйственные нужды организации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450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Генерация на установках организации (совмещение деятельности)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460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45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Собственное потребление (совмещение деятельности)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470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21.7835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21.7835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Потери, в том числе: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480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0.1885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0.1885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 xml:space="preserve">относимые на собственное потребление 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490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0.1885</w:t>
            </w:r>
          </w:p>
        </w:tc>
        <w:tc>
          <w:tcPr>
            <w:tcW w:w="1206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0.1885</w:t>
            </w:r>
          </w:p>
        </w:tc>
        <w:tc>
          <w:tcPr>
            <w:tcW w:w="3858" w:type="dxa"/>
            <w:shd w:val="clear" w:color="000000" w:fill="FFFFCC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 </w:t>
            </w:r>
          </w:p>
        </w:tc>
      </w:tr>
      <w:tr w:rsidR="00B145F3" w:rsidRPr="00B145F3" w:rsidTr="00B145F3">
        <w:trPr>
          <w:trHeight w:val="300"/>
          <w:jc w:val="center"/>
        </w:trPr>
        <w:tc>
          <w:tcPr>
            <w:tcW w:w="4300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Небаланс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B145F3" w:rsidRPr="00B145F3" w:rsidRDefault="00B145F3" w:rsidP="00614A8F">
            <w:pPr>
              <w:jc w:val="center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500</w:t>
            </w:r>
          </w:p>
        </w:tc>
        <w:tc>
          <w:tcPr>
            <w:tcW w:w="1660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206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134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1418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  <w:tc>
          <w:tcPr>
            <w:tcW w:w="3858" w:type="dxa"/>
            <w:shd w:val="clear" w:color="000000" w:fill="D7EAD3"/>
            <w:noWrap/>
            <w:vAlign w:val="center"/>
            <w:hideMark/>
          </w:tcPr>
          <w:p w:rsidR="00B145F3" w:rsidRPr="00B145F3" w:rsidRDefault="00B145F3" w:rsidP="00614A8F">
            <w:pPr>
              <w:jc w:val="right"/>
              <w:rPr>
                <w:color w:val="333333"/>
              </w:rPr>
            </w:pPr>
            <w:r w:rsidRPr="00B145F3">
              <w:rPr>
                <w:color w:val="333333"/>
                <w:sz w:val="22"/>
                <w:szCs w:val="22"/>
              </w:rPr>
              <w:t>0.0000</w:t>
            </w:r>
          </w:p>
        </w:tc>
      </w:tr>
    </w:tbl>
    <w:p w:rsidR="00614A8F" w:rsidRPr="00833FEB" w:rsidRDefault="000D409E" w:rsidP="00C236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50B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техническом состоянии сетей </w:t>
      </w:r>
      <w:r w:rsidR="00AB586C" w:rsidRPr="00F950BA">
        <w:rPr>
          <w:rFonts w:ascii="Times New Roman" w:hAnsi="Times New Roman" w:cs="Times New Roman"/>
          <w:sz w:val="28"/>
          <w:szCs w:val="28"/>
        </w:rPr>
        <w:t>отражена в таблиц</w:t>
      </w:r>
      <w:r w:rsidR="00F42369" w:rsidRPr="00F950BA">
        <w:rPr>
          <w:rFonts w:ascii="Times New Roman" w:hAnsi="Times New Roman" w:cs="Times New Roman"/>
          <w:sz w:val="28"/>
          <w:szCs w:val="28"/>
        </w:rPr>
        <w:t>ах</w:t>
      </w:r>
      <w:r w:rsidR="00AB586C" w:rsidRPr="00F950BA">
        <w:rPr>
          <w:rFonts w:ascii="Times New Roman" w:hAnsi="Times New Roman" w:cs="Times New Roman"/>
          <w:sz w:val="28"/>
          <w:szCs w:val="28"/>
        </w:rPr>
        <w:t xml:space="preserve"> </w:t>
      </w:r>
      <w:r w:rsidR="009E164D">
        <w:rPr>
          <w:rFonts w:ascii="Times New Roman" w:hAnsi="Times New Roman" w:cs="Times New Roman"/>
          <w:sz w:val="28"/>
          <w:szCs w:val="28"/>
        </w:rPr>
        <w:t>2</w:t>
      </w:r>
      <w:r w:rsidR="00833FEB">
        <w:rPr>
          <w:rFonts w:ascii="Times New Roman" w:hAnsi="Times New Roman" w:cs="Times New Roman"/>
          <w:sz w:val="28"/>
          <w:szCs w:val="28"/>
        </w:rPr>
        <w:t xml:space="preserve"> и </w:t>
      </w:r>
      <w:r w:rsidR="009E164D">
        <w:rPr>
          <w:rFonts w:ascii="Times New Roman" w:hAnsi="Times New Roman" w:cs="Times New Roman"/>
          <w:sz w:val="28"/>
          <w:szCs w:val="28"/>
        </w:rPr>
        <w:t>3</w:t>
      </w:r>
      <w:r w:rsidR="00833FEB">
        <w:rPr>
          <w:rFonts w:ascii="Times New Roman" w:hAnsi="Times New Roman" w:cs="Times New Roman"/>
          <w:sz w:val="28"/>
          <w:szCs w:val="28"/>
        </w:rPr>
        <w:t>.</w:t>
      </w:r>
    </w:p>
    <w:p w:rsidR="00AB586C" w:rsidRPr="00F950BA" w:rsidRDefault="00833FEB" w:rsidP="00614A8F">
      <w:pPr>
        <w:jc w:val="center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844C3">
        <w:tab/>
      </w:r>
      <w:r w:rsidR="001844C3">
        <w:tab/>
      </w:r>
      <w:r w:rsidR="001844C3">
        <w:tab/>
        <w:t xml:space="preserve">      </w:t>
      </w:r>
      <w:r w:rsidRPr="00F950BA">
        <w:t xml:space="preserve">Таблица </w:t>
      </w:r>
      <w:r w:rsidR="009E164D"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103"/>
        <w:gridCol w:w="8080"/>
        <w:gridCol w:w="992"/>
      </w:tblGrid>
      <w:tr w:rsidR="008E5A2C" w:rsidRPr="00F950BA" w:rsidTr="00776C29"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Номенклатура</w:t>
            </w:r>
          </w:p>
        </w:tc>
        <w:tc>
          <w:tcPr>
            <w:tcW w:w="8080" w:type="dxa"/>
            <w:vAlign w:val="center"/>
          </w:tcPr>
          <w:p w:rsidR="008F4E8A" w:rsidRPr="00776C29" w:rsidRDefault="008F4E8A" w:rsidP="00614A8F">
            <w:pPr>
              <w:ind w:left="34" w:hanging="10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Примечание</w:t>
            </w:r>
          </w:p>
        </w:tc>
      </w:tr>
      <w:tr w:rsidR="008E5A2C" w:rsidRPr="00F950BA" w:rsidTr="00776C29">
        <w:trPr>
          <w:trHeight w:val="375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30/30306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Кабельная ЛЭП-6кв от центр. подст. до цеховых подст.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 xml:space="preserve">Каб. подземный: 1. АСБ-6 3*185-2,88км. 2. АСБ-6 3*150-3,04км. 3. АСБГ-6 3*35-350м. АСБ-6 3*185-1,5км. 4. АСБ-6 3*185-1,5км. 5. АСБ-6 3*185-1,2км. 6. АСБ-6 3*185-1,2км. 7. </w:t>
            </w:r>
          </w:p>
          <w:p w:rsidR="008E5A2C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АСБ-6 3*150-400м.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  <w:tr w:rsidR="008E5A2C" w:rsidRPr="00F950BA" w:rsidTr="00776C29">
        <w:trPr>
          <w:trHeight w:val="423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30/30301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от подстанции «помол»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Каб. АСГУ -6 3*185-1000м. Каб. подземный: 1. АСБ-6 3*150-400м. 2. АСБ-6 3*70-180м. 3. АСБГ-1 3*95-420м. 4. АСБГ-1 3*70-340м. 5. АСБ-1 3*150-200м.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  <w:tr w:rsidR="008E5A2C" w:rsidRPr="00F950BA" w:rsidTr="00776C29">
        <w:trPr>
          <w:trHeight w:val="428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30/30303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от подстанции цем. силосов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1. АСБ-1 3*120-300м. 2. АСБ-1 3*120+1*50-220м. 3. АСБ-1 3*95+1*50-330м. 4. АВВГ-1 3*25*1*16-363м.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30/30307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от центральной п/с до цеховых п/с 3 техн.линии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Кабель: АСБ-6кв; АСБ 0,4 кв.</w:t>
            </w:r>
          </w:p>
        </w:tc>
        <w:tc>
          <w:tcPr>
            <w:tcW w:w="992" w:type="dxa"/>
            <w:vAlign w:val="center"/>
          </w:tcPr>
          <w:p w:rsidR="008F4E8A" w:rsidRPr="00776C29" w:rsidRDefault="008F4E8A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30/303021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«Компрессорная»</w:t>
            </w:r>
          </w:p>
        </w:tc>
        <w:tc>
          <w:tcPr>
            <w:tcW w:w="8080" w:type="dxa"/>
            <w:vAlign w:val="center"/>
          </w:tcPr>
          <w:p w:rsidR="008F4E8A" w:rsidRPr="00776C29" w:rsidRDefault="008E5A2C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Каб. подземный: 1. АСБГ-6 3*95-300м. 2. АСБГ-6 3*70-200м.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30/30302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«Компрессорная»</w:t>
            </w:r>
          </w:p>
        </w:tc>
        <w:tc>
          <w:tcPr>
            <w:tcW w:w="8080" w:type="dxa"/>
            <w:vAlign w:val="center"/>
          </w:tcPr>
          <w:p w:rsidR="008F4E8A" w:rsidRPr="00776C29" w:rsidRDefault="009B3744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Каб. подземный: 1. АСБ-1 3*95+1*50-220м. 2. АСБ-1 3*35-270м. 3. АСБ-1 3*185-220м. 4. АСБ-1 3*120-100м. 5. АСБ-1 3*95+1*50-30м. 6. АСБ-1 3*25-1*16-190м.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30/30305</w:t>
            </w:r>
          </w:p>
        </w:tc>
        <w:tc>
          <w:tcPr>
            <w:tcW w:w="5103" w:type="dxa"/>
            <w:vAlign w:val="center"/>
          </w:tcPr>
          <w:p w:rsidR="008F4E8A" w:rsidRPr="00776C29" w:rsidRDefault="001844C3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подстанции «Сырьевой»</w:t>
            </w:r>
          </w:p>
        </w:tc>
        <w:tc>
          <w:tcPr>
            <w:tcW w:w="8080" w:type="dxa"/>
            <w:vAlign w:val="center"/>
          </w:tcPr>
          <w:p w:rsidR="008F4E8A" w:rsidRPr="00776C29" w:rsidRDefault="009B3744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 xml:space="preserve">Каб. подземный: 1. АСБГ-6 3*95-200м. 2. АБГ-1 3*95+1*50-80м. 3. АСБ-1 3*185-1346м. 4. АСБГ-1 3*70-225м. 5. АСБ-1 3*185+1*95-150м. 6. АСБ-1 3*70+1*35-70м. 7. АСБГ-1 3*150-335м.      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30/30304</w:t>
            </w:r>
          </w:p>
        </w:tc>
        <w:tc>
          <w:tcPr>
            <w:tcW w:w="5103" w:type="dxa"/>
            <w:vAlign w:val="center"/>
          </w:tcPr>
          <w:p w:rsidR="008F4E8A" w:rsidRPr="00776C29" w:rsidRDefault="001844C3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Кабельные и воздушные линии электрических передач/ Фидерные сети от подстанции дробильного отделения</w:t>
            </w:r>
          </w:p>
        </w:tc>
        <w:tc>
          <w:tcPr>
            <w:tcW w:w="8080" w:type="dxa"/>
            <w:vAlign w:val="center"/>
          </w:tcPr>
          <w:p w:rsidR="008F4E8A" w:rsidRPr="00776C29" w:rsidRDefault="001844C3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</w:t>
            </w:r>
            <w:r w:rsidR="009B3744" w:rsidRPr="00776C29">
              <w:rPr>
                <w:sz w:val="20"/>
                <w:szCs w:val="20"/>
              </w:rPr>
              <w:t>аб.</w:t>
            </w:r>
            <w:r w:rsidRPr="00776C29">
              <w:rPr>
                <w:sz w:val="20"/>
                <w:szCs w:val="20"/>
              </w:rPr>
              <w:t xml:space="preserve"> подземный: 1. АСБГ-6 3*35-350м. 2. АСБ-1 3*150-1*70-150м. 3. АСБГ-1 3*150-125м. 4. АСБГ-1 3*70-60м. 5. АС</w:t>
            </w:r>
            <w:r w:rsidR="009B3744" w:rsidRPr="00776C29">
              <w:rPr>
                <w:sz w:val="20"/>
                <w:szCs w:val="20"/>
              </w:rPr>
              <w:t>Б</w:t>
            </w:r>
            <w:r w:rsidRPr="00776C29">
              <w:rPr>
                <w:sz w:val="20"/>
                <w:szCs w:val="20"/>
              </w:rPr>
              <w:t>-</w:t>
            </w:r>
            <w:r w:rsidR="009B3744" w:rsidRPr="00776C29">
              <w:rPr>
                <w:sz w:val="20"/>
                <w:szCs w:val="20"/>
              </w:rPr>
              <w:t>1</w:t>
            </w:r>
            <w:r w:rsidRPr="00776C29">
              <w:rPr>
                <w:sz w:val="20"/>
                <w:szCs w:val="20"/>
              </w:rPr>
              <w:t xml:space="preserve"> 3*</w:t>
            </w:r>
            <w:r w:rsidR="009B3744" w:rsidRPr="00776C29">
              <w:rPr>
                <w:sz w:val="20"/>
                <w:szCs w:val="20"/>
              </w:rPr>
              <w:t>1</w:t>
            </w:r>
            <w:r w:rsidRPr="00776C29">
              <w:rPr>
                <w:sz w:val="20"/>
                <w:szCs w:val="20"/>
              </w:rPr>
              <w:t>5</w:t>
            </w:r>
            <w:r w:rsidR="009B3744" w:rsidRPr="00776C29">
              <w:rPr>
                <w:sz w:val="20"/>
                <w:szCs w:val="20"/>
              </w:rPr>
              <w:t>0-1</w:t>
            </w:r>
            <w:r w:rsidRPr="00776C29">
              <w:rPr>
                <w:sz w:val="20"/>
                <w:szCs w:val="20"/>
              </w:rPr>
              <w:t>50м</w:t>
            </w:r>
            <w:r w:rsidR="009B3744" w:rsidRPr="00776C29">
              <w:rPr>
                <w:sz w:val="20"/>
                <w:szCs w:val="20"/>
              </w:rPr>
              <w:t>. 6. АСБГ-1 3*50-50+1*25-120м. 7. АСБГ-1 3*150+1*70-125м.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  <w:tr w:rsidR="008E5A2C" w:rsidRPr="00F950BA" w:rsidTr="00776C29">
        <w:trPr>
          <w:trHeight w:val="406"/>
        </w:trPr>
        <w:tc>
          <w:tcPr>
            <w:tcW w:w="1418" w:type="dxa"/>
            <w:vAlign w:val="center"/>
          </w:tcPr>
          <w:p w:rsidR="008F4E8A" w:rsidRPr="00776C29" w:rsidRDefault="008F4E8A" w:rsidP="00614A8F">
            <w:pPr>
              <w:ind w:left="34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30/30340</w:t>
            </w:r>
          </w:p>
        </w:tc>
        <w:tc>
          <w:tcPr>
            <w:tcW w:w="5103" w:type="dxa"/>
            <w:vAlign w:val="center"/>
          </w:tcPr>
          <w:p w:rsidR="008F4E8A" w:rsidRPr="00776C29" w:rsidRDefault="008F4E8A" w:rsidP="00614A8F">
            <w:pPr>
              <w:ind w:left="33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8080" w:type="dxa"/>
            <w:vAlign w:val="center"/>
          </w:tcPr>
          <w:p w:rsidR="008F4E8A" w:rsidRPr="00776C29" w:rsidRDefault="001844C3" w:rsidP="00614A8F">
            <w:pPr>
              <w:ind w:left="34" w:hanging="10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Каб. линии эл./передач до 10 кв, напряжение 380в, част-50гц: Кабель подземный: 1. АСБ-1 3*25+1*16-65м. 2. АСБ-1 3*25+1*16-60м. 3. АСБ-1 3*25+1*16-70м. 4. АСБ-1 3*25+1*16-190м.</w:t>
            </w:r>
          </w:p>
        </w:tc>
        <w:tc>
          <w:tcPr>
            <w:tcW w:w="992" w:type="dxa"/>
            <w:vAlign w:val="center"/>
          </w:tcPr>
          <w:p w:rsidR="008F4E8A" w:rsidRPr="00776C29" w:rsidRDefault="001844C3" w:rsidP="00614A8F">
            <w:pPr>
              <w:ind w:left="327" w:hanging="327"/>
              <w:jc w:val="center"/>
              <w:rPr>
                <w:sz w:val="20"/>
                <w:szCs w:val="20"/>
              </w:rPr>
            </w:pPr>
            <w:r w:rsidRPr="00776C29">
              <w:rPr>
                <w:sz w:val="20"/>
                <w:szCs w:val="20"/>
              </w:rPr>
              <w:t>удовл.</w:t>
            </w:r>
          </w:p>
        </w:tc>
      </w:tr>
    </w:tbl>
    <w:p w:rsidR="00AB586C" w:rsidRPr="00F950BA" w:rsidRDefault="00833FEB" w:rsidP="00655044">
      <w:pPr>
        <w:pStyle w:val="a4"/>
        <w:ind w:left="9531" w:firstLine="381"/>
        <w:jc w:val="center"/>
        <w:rPr>
          <w:rFonts w:ascii="Times New Roman" w:hAnsi="Times New Roman" w:cs="Times New Roman"/>
          <w:sz w:val="24"/>
          <w:szCs w:val="24"/>
        </w:rPr>
      </w:pPr>
      <w:r w:rsidRPr="00F950B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E164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XSpec="center" w:tblpY="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220"/>
        <w:gridCol w:w="1701"/>
      </w:tblGrid>
      <w:tr w:rsidR="00833FEB" w:rsidRPr="00F950BA" w:rsidTr="00833FEB">
        <w:trPr>
          <w:trHeight w:val="510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 xml:space="preserve">№ </w:t>
            </w:r>
            <w:proofErr w:type="gramStart"/>
            <w:r w:rsidRPr="00F950BA">
              <w:t>п</w:t>
            </w:r>
            <w:proofErr w:type="gramEnd"/>
            <w:r w:rsidRPr="00F950BA">
              <w:t>/п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09"/>
              <w:jc w:val="center"/>
            </w:pPr>
            <w:r w:rsidRPr="00F950BA">
              <w:t>Величина показателя</w:t>
            </w:r>
          </w:p>
        </w:tc>
      </w:tr>
      <w:tr w:rsidR="00833FEB" w:rsidRPr="00F950BA" w:rsidTr="00833FEB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1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объем недопоставленной в результате аварийных отключений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  <w:rPr>
                <w:b/>
                <w:bCs/>
              </w:rPr>
            </w:pPr>
            <w:r w:rsidRPr="00F950BA">
              <w:rPr>
                <w:b/>
                <w:bCs/>
              </w:rPr>
              <w:t>0</w:t>
            </w:r>
          </w:p>
        </w:tc>
      </w:tr>
      <w:tr w:rsidR="00833FEB" w:rsidRPr="00F950BA" w:rsidTr="00833FEB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2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</w:pPr>
            <w:r w:rsidRPr="00F950BA">
              <w:t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3FEB" w:rsidRPr="00F950BA" w:rsidRDefault="00833FEB" w:rsidP="00614A8F">
            <w:pPr>
              <w:ind w:left="284" w:hanging="327"/>
              <w:jc w:val="center"/>
              <w:rPr>
                <w:b/>
                <w:bCs/>
              </w:rPr>
            </w:pPr>
            <w:r w:rsidRPr="00F950BA">
              <w:rPr>
                <w:b/>
                <w:bCs/>
              </w:rPr>
              <w:t>0</w:t>
            </w:r>
          </w:p>
        </w:tc>
      </w:tr>
      <w:tr w:rsidR="00F57B43" w:rsidRPr="00F950BA" w:rsidTr="00833FEB">
        <w:trPr>
          <w:trHeight w:val="945"/>
        </w:trPr>
        <w:tc>
          <w:tcPr>
            <w:tcW w:w="960" w:type="dxa"/>
            <w:shd w:val="clear" w:color="auto" w:fill="auto"/>
            <w:vAlign w:val="center"/>
            <w:hideMark/>
          </w:tcPr>
          <w:p w:rsidR="00F57B43" w:rsidRPr="00F950BA" w:rsidRDefault="00B36723" w:rsidP="00614A8F">
            <w:pPr>
              <w:ind w:left="284" w:hanging="327"/>
              <w:jc w:val="center"/>
            </w:pPr>
            <w:r>
              <w:t>3</w:t>
            </w:r>
          </w:p>
        </w:tc>
        <w:tc>
          <w:tcPr>
            <w:tcW w:w="8220" w:type="dxa"/>
            <w:shd w:val="clear" w:color="auto" w:fill="auto"/>
            <w:vAlign w:val="center"/>
            <w:hideMark/>
          </w:tcPr>
          <w:p w:rsidR="00F57B43" w:rsidRPr="00F950BA" w:rsidRDefault="00B36723" w:rsidP="00614A8F">
            <w:pPr>
              <w:ind w:left="284" w:hanging="327"/>
              <w:jc w:val="center"/>
            </w:pPr>
            <w:r w:rsidRPr="00F950BA"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</w:t>
            </w:r>
            <w:r>
              <w:t xml:space="preserve">ниже </w:t>
            </w:r>
            <w:r w:rsidRPr="00F950BA">
              <w:t xml:space="preserve">35 кВ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7B43" w:rsidRPr="00F950BA" w:rsidRDefault="00B36723" w:rsidP="00614A8F">
            <w:pPr>
              <w:ind w:left="284" w:hanging="3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65BDD" w:rsidRPr="00F950BA" w:rsidRDefault="00D65BDD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2369" w:rsidRPr="00F950BA" w:rsidRDefault="00F42369" w:rsidP="00614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F42369" w:rsidP="00614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F42369" w:rsidP="00614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2369" w:rsidRPr="00F950BA" w:rsidRDefault="00833FEB" w:rsidP="00614A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DF712D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7358CF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  <w:r w:rsidR="00DA5FEE" w:rsidRPr="00F950BA">
        <w:rPr>
          <w:rFonts w:ascii="Times New Roman" w:hAnsi="Times New Roman" w:cs="Times New Roman"/>
          <w:sz w:val="24"/>
          <w:szCs w:val="24"/>
        </w:rPr>
        <w:tab/>
      </w:r>
    </w:p>
    <w:p w:rsidR="00776C29" w:rsidRDefault="005D78DC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723" w:rsidRDefault="00776C29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4A8F" w:rsidRDefault="00614A8F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723" w:rsidRDefault="00B3672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5BDD" w:rsidRDefault="00B3672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69B9">
        <w:rPr>
          <w:rFonts w:ascii="Times New Roman" w:hAnsi="Times New Roman" w:cs="Times New Roman"/>
          <w:sz w:val="28"/>
          <w:szCs w:val="28"/>
        </w:rPr>
        <w:t xml:space="preserve">В </w:t>
      </w:r>
      <w:r w:rsidR="00182786">
        <w:rPr>
          <w:rFonts w:ascii="Times New Roman" w:hAnsi="Times New Roman" w:cs="Times New Roman"/>
          <w:sz w:val="28"/>
          <w:szCs w:val="28"/>
        </w:rPr>
        <w:t>201</w:t>
      </w:r>
      <w:r w:rsidR="0040669A">
        <w:rPr>
          <w:rFonts w:ascii="Times New Roman" w:hAnsi="Times New Roman" w:cs="Times New Roman"/>
          <w:sz w:val="28"/>
          <w:szCs w:val="28"/>
        </w:rPr>
        <w:t>5</w:t>
      </w:r>
      <w:r w:rsidR="00C810D7">
        <w:rPr>
          <w:rFonts w:ascii="Times New Roman" w:hAnsi="Times New Roman" w:cs="Times New Roman"/>
          <w:sz w:val="28"/>
          <w:szCs w:val="28"/>
        </w:rPr>
        <w:t>г.</w:t>
      </w:r>
      <w:r w:rsidR="00644205">
        <w:rPr>
          <w:rFonts w:ascii="Times New Roman" w:hAnsi="Times New Roman" w:cs="Times New Roman"/>
          <w:sz w:val="28"/>
          <w:szCs w:val="28"/>
        </w:rPr>
        <w:t xml:space="preserve"> на заводских подстанциях</w:t>
      </w:r>
      <w:r w:rsidR="009E164D">
        <w:rPr>
          <w:rFonts w:ascii="Times New Roman" w:hAnsi="Times New Roman" w:cs="Times New Roman"/>
          <w:sz w:val="28"/>
          <w:szCs w:val="28"/>
        </w:rPr>
        <w:t xml:space="preserve"> </w:t>
      </w:r>
      <w:r w:rsidR="00C810D7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810D7">
        <w:rPr>
          <w:rFonts w:ascii="Times New Roman" w:hAnsi="Times New Roman" w:cs="Times New Roman"/>
          <w:sz w:val="28"/>
          <w:szCs w:val="28"/>
        </w:rPr>
        <w:t>Липецкцемент</w:t>
      </w:r>
      <w:proofErr w:type="spellEnd"/>
      <w:r w:rsidR="00C810D7">
        <w:rPr>
          <w:rFonts w:ascii="Times New Roman" w:hAnsi="Times New Roman" w:cs="Times New Roman"/>
          <w:sz w:val="28"/>
          <w:szCs w:val="28"/>
        </w:rPr>
        <w:t>»</w:t>
      </w:r>
      <w:r w:rsidR="00644205">
        <w:rPr>
          <w:rFonts w:ascii="Times New Roman" w:hAnsi="Times New Roman" w:cs="Times New Roman"/>
          <w:sz w:val="28"/>
          <w:szCs w:val="28"/>
        </w:rPr>
        <w:t xml:space="preserve"> были проведены регламентные высоковольтные испытания и настройка релейной защиты на 0,4 кВ с автоматическими выключателями на РУНН 0,4 кВ на подстанциях «</w:t>
      </w:r>
      <w:r w:rsidR="00BB3443">
        <w:rPr>
          <w:rFonts w:ascii="Times New Roman" w:hAnsi="Times New Roman" w:cs="Times New Roman"/>
          <w:sz w:val="28"/>
          <w:szCs w:val="28"/>
        </w:rPr>
        <w:t>Помол</w:t>
      </w:r>
      <w:r w:rsidR="00644205">
        <w:rPr>
          <w:rFonts w:ascii="Times New Roman" w:hAnsi="Times New Roman" w:cs="Times New Roman"/>
          <w:sz w:val="28"/>
          <w:szCs w:val="28"/>
        </w:rPr>
        <w:t>»</w:t>
      </w:r>
      <w:r w:rsidR="00BB3443">
        <w:rPr>
          <w:rFonts w:ascii="Times New Roman" w:hAnsi="Times New Roman" w:cs="Times New Roman"/>
          <w:sz w:val="28"/>
          <w:szCs w:val="28"/>
        </w:rPr>
        <w:t>, «Компрессорная №1</w:t>
      </w:r>
      <w:r w:rsidR="00C810D7">
        <w:rPr>
          <w:rFonts w:ascii="Times New Roman" w:hAnsi="Times New Roman" w:cs="Times New Roman"/>
          <w:sz w:val="28"/>
          <w:szCs w:val="28"/>
        </w:rPr>
        <w:t>»</w:t>
      </w:r>
      <w:r w:rsidR="00BB3443">
        <w:rPr>
          <w:rFonts w:ascii="Times New Roman" w:hAnsi="Times New Roman" w:cs="Times New Roman"/>
          <w:sz w:val="28"/>
          <w:szCs w:val="28"/>
        </w:rPr>
        <w:t>, КТП «Обжиг №3»</w:t>
      </w:r>
      <w:r w:rsidR="00C810D7">
        <w:rPr>
          <w:rFonts w:ascii="Times New Roman" w:hAnsi="Times New Roman" w:cs="Times New Roman"/>
          <w:sz w:val="28"/>
          <w:szCs w:val="28"/>
        </w:rPr>
        <w:t xml:space="preserve"> и </w:t>
      </w:r>
      <w:r w:rsidR="00BB3443">
        <w:rPr>
          <w:rFonts w:ascii="Times New Roman" w:hAnsi="Times New Roman" w:cs="Times New Roman"/>
          <w:sz w:val="28"/>
          <w:szCs w:val="28"/>
        </w:rPr>
        <w:t>КТП «РМЦ</w:t>
      </w:r>
      <w:r w:rsidR="00644205">
        <w:rPr>
          <w:rFonts w:ascii="Times New Roman" w:hAnsi="Times New Roman" w:cs="Times New Roman"/>
          <w:sz w:val="28"/>
          <w:szCs w:val="28"/>
        </w:rPr>
        <w:t>».</w:t>
      </w:r>
    </w:p>
    <w:p w:rsidR="00307D4F" w:rsidRDefault="00B36723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4066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810D7">
        <w:rPr>
          <w:rFonts w:ascii="Times New Roman" w:hAnsi="Times New Roman" w:cs="Times New Roman"/>
          <w:sz w:val="28"/>
          <w:szCs w:val="28"/>
        </w:rPr>
        <w:t>заяв</w:t>
      </w:r>
      <w:r w:rsidR="0040669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к электрическим сетям</w:t>
      </w:r>
      <w:r w:rsidR="0015040C">
        <w:rPr>
          <w:rFonts w:ascii="Times New Roman" w:hAnsi="Times New Roman" w:cs="Times New Roman"/>
          <w:sz w:val="28"/>
          <w:szCs w:val="28"/>
        </w:rPr>
        <w:t xml:space="preserve"> АО «Липецкцемент»</w:t>
      </w:r>
      <w:r w:rsidR="0040669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25A" w:rsidRDefault="00BB28FB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Резервируемой мощности нет.</w:t>
      </w:r>
    </w:p>
    <w:p w:rsidR="00614A8F" w:rsidRDefault="00307D4F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контрольных замеров электрических параметров режимов работы оборудования в режимные дни 201</w:t>
      </w:r>
      <w:r w:rsidR="004066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0669A" w:rsidRDefault="0040669A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41" w:type="dxa"/>
        <w:jc w:val="center"/>
        <w:tblInd w:w="3510" w:type="dxa"/>
        <w:tblLook w:val="04A0"/>
      </w:tblPr>
      <w:tblGrid>
        <w:gridCol w:w="1641"/>
        <w:gridCol w:w="2360"/>
        <w:gridCol w:w="2540"/>
      </w:tblGrid>
      <w:tr w:rsidR="0040669A" w:rsidRPr="0040669A" w:rsidTr="00BB3443">
        <w:trPr>
          <w:trHeight w:val="510"/>
          <w:jc w:val="center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Час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Активнвя энергия, кВт*ч (Зима)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Активнвя энергия, кВт*ч (Лето)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0:00-1:00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14 518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20 817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1:00-2:00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13 198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20 801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2:00-3:00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14 220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18 789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3:00-4:00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15 820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17 842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4:00-5:00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15 591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17 759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5:00-6:00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15 162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17 857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6:00-7:00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15 123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17 446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7:00-8:00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15 006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17 690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8:00-9:00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14 018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18 237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9:00-10:00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14 410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18 373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10:00-11:00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16 017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19 669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11:00-12:00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16 848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20 053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12:00-13:00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16 691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19 966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13:00-14:00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16 659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21 219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14:00-15:00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16 739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20 415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15:00-16:00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16 669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18 957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16:00-17:00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16 684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20 149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17:00-18:00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20 034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18:00-19:00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20 144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19:00-20:00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17 859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20:00-21:00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17 088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18 885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21:00-22:00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20 507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22:00-23:00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20 606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23:00-0:00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17 294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69A" w:rsidRPr="0040669A" w:rsidRDefault="0040669A" w:rsidP="0040669A">
            <w:pPr>
              <w:jc w:val="center"/>
            </w:pPr>
            <w:r w:rsidRPr="0040669A">
              <w:t>20 420</w:t>
            </w:r>
          </w:p>
        </w:tc>
      </w:tr>
      <w:tr w:rsidR="0040669A" w:rsidRPr="0040669A" w:rsidTr="00BB3443">
        <w:trPr>
          <w:trHeight w:val="255"/>
          <w:jc w:val="center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r w:rsidRPr="0040669A">
              <w:t>итого: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right"/>
            </w:pPr>
            <w:r w:rsidRPr="0040669A">
              <w:t>384 122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69A" w:rsidRPr="0040669A" w:rsidRDefault="0040669A" w:rsidP="0040669A">
            <w:pPr>
              <w:jc w:val="right"/>
            </w:pPr>
            <w:r w:rsidRPr="0040669A">
              <w:t>464 494</w:t>
            </w:r>
          </w:p>
        </w:tc>
      </w:tr>
    </w:tbl>
    <w:p w:rsidR="0040669A" w:rsidRDefault="0040669A" w:rsidP="00614A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2FC3" w:rsidRPr="001C18CF" w:rsidRDefault="002B2FC3" w:rsidP="00614A8F">
      <w:pPr>
        <w:widowControl w:val="0"/>
        <w:shd w:val="clear" w:color="auto" w:fill="FFFFFF"/>
        <w:autoSpaceDE w:val="0"/>
        <w:autoSpaceDN w:val="0"/>
        <w:adjustRightInd w:val="0"/>
        <w:spacing w:before="226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Поставка электрической энергии осущ</w:t>
      </w:r>
      <w:r w:rsidR="0040669A">
        <w:rPr>
          <w:sz w:val="28"/>
          <w:szCs w:val="28"/>
        </w:rPr>
        <w:t xml:space="preserve">ествляется по сетям </w:t>
      </w:r>
      <w:r>
        <w:rPr>
          <w:sz w:val="28"/>
          <w:szCs w:val="28"/>
        </w:rPr>
        <w:t xml:space="preserve">АО «Липецкцемент» по договорам на технологическое присоединение </w:t>
      </w:r>
      <w:r w:rsidR="00B77C66">
        <w:rPr>
          <w:sz w:val="28"/>
          <w:szCs w:val="28"/>
        </w:rPr>
        <w:t xml:space="preserve">на </w:t>
      </w:r>
      <w:r>
        <w:rPr>
          <w:sz w:val="28"/>
          <w:szCs w:val="28"/>
        </w:rPr>
        <w:t>следующих условиях:</w:t>
      </w:r>
      <w:r w:rsidRPr="002B2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2B2FC3" w:rsidRPr="00B77C66" w:rsidRDefault="002B2FC3" w:rsidP="00614A8F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Pr="00346602">
        <w:rPr>
          <w:spacing w:val="-1"/>
          <w:sz w:val="28"/>
          <w:szCs w:val="28"/>
        </w:rPr>
        <w:t xml:space="preserve">Исполнитель обязуется выполнить мероприятие </w:t>
      </w:r>
      <w:r>
        <w:rPr>
          <w:spacing w:val="-1"/>
          <w:sz w:val="28"/>
          <w:szCs w:val="28"/>
        </w:rPr>
        <w:t xml:space="preserve">по технологическому </w:t>
      </w:r>
      <w:r w:rsidRPr="00346602"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и</w:t>
      </w:r>
      <w:r w:rsidRPr="00346602">
        <w:rPr>
          <w:spacing w:val="-1"/>
          <w:sz w:val="28"/>
          <w:szCs w:val="28"/>
        </w:rPr>
        <w:t>соед</w:t>
      </w:r>
      <w:r>
        <w:rPr>
          <w:spacing w:val="-1"/>
          <w:sz w:val="28"/>
          <w:szCs w:val="28"/>
        </w:rPr>
        <w:t>инени</w:t>
      </w:r>
      <w:r w:rsidRPr="00346602">
        <w:rPr>
          <w:spacing w:val="-1"/>
          <w:sz w:val="28"/>
          <w:szCs w:val="28"/>
        </w:rPr>
        <w:t>ю энер</w:t>
      </w:r>
      <w:r>
        <w:rPr>
          <w:spacing w:val="-1"/>
          <w:sz w:val="28"/>
          <w:szCs w:val="28"/>
        </w:rPr>
        <w:t>го</w:t>
      </w:r>
      <w:r w:rsidRPr="00346602">
        <w:rPr>
          <w:spacing w:val="-1"/>
          <w:sz w:val="28"/>
          <w:szCs w:val="28"/>
        </w:rPr>
        <w:t>при</w:t>
      </w:r>
      <w:r>
        <w:rPr>
          <w:spacing w:val="-1"/>
          <w:sz w:val="28"/>
          <w:szCs w:val="28"/>
        </w:rPr>
        <w:t>н</w:t>
      </w:r>
      <w:r w:rsidRPr="00346602">
        <w:rPr>
          <w:spacing w:val="-1"/>
          <w:sz w:val="28"/>
          <w:szCs w:val="28"/>
        </w:rPr>
        <w:t xml:space="preserve">имающих </w:t>
      </w:r>
      <w:r>
        <w:rPr>
          <w:sz w:val="28"/>
          <w:szCs w:val="28"/>
        </w:rPr>
        <w:t xml:space="preserve">устройств </w:t>
      </w:r>
      <w:r w:rsidRPr="00346602">
        <w:rPr>
          <w:sz w:val="28"/>
          <w:szCs w:val="28"/>
        </w:rPr>
        <w:t>Заказчика,</w:t>
      </w:r>
      <w:r>
        <w:rPr>
          <w:sz w:val="28"/>
          <w:szCs w:val="28"/>
        </w:rPr>
        <w:t xml:space="preserve"> обеспечить передачу  принятой в свою сеть электроэнергии от точек приема до точек поставки в пределах объема мощности оговоренного Договором, качество (в соответствии с </w:t>
      </w:r>
      <w:r w:rsidR="004E2EE7" w:rsidRPr="004E2EE7">
        <w:rPr>
          <w:sz w:val="28"/>
          <w:szCs w:val="28"/>
        </w:rPr>
        <w:t>ГОСТ Р 54149-2010</w:t>
      </w:r>
      <w:r w:rsidR="006926E7">
        <w:rPr>
          <w:sz w:val="28"/>
          <w:szCs w:val="28"/>
        </w:rPr>
        <w:t xml:space="preserve"> </w:t>
      </w:r>
      <w:r w:rsidR="006926E7" w:rsidRPr="006926E7">
        <w:rPr>
          <w:sz w:val="28"/>
          <w:szCs w:val="28"/>
        </w:rPr>
        <w:t>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  <w:r>
        <w:rPr>
          <w:sz w:val="28"/>
          <w:szCs w:val="28"/>
        </w:rPr>
        <w:t>) и иных параметров, которые должны соответствовать обязательным требованиям, установленным нормами действующего законодательства РФ.</w:t>
      </w:r>
    </w:p>
    <w:p w:rsidR="002B2FC3" w:rsidRDefault="002B2FC3" w:rsidP="00614A8F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z w:val="28"/>
          <w:szCs w:val="28"/>
        </w:rPr>
      </w:pPr>
      <w:r w:rsidRPr="00346602">
        <w:rPr>
          <w:sz w:val="28"/>
          <w:szCs w:val="28"/>
        </w:rPr>
        <w:t>Исполнитель обязуется:</w:t>
      </w:r>
    </w:p>
    <w:p w:rsidR="002B2FC3" w:rsidRPr="00481576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Производить передачу электрической энергии, принадлежащей Заказчику, через свои сети в объеме, уста</w:t>
      </w:r>
      <w:r w:rsidR="00307D4F">
        <w:rPr>
          <w:sz w:val="28"/>
          <w:szCs w:val="28"/>
        </w:rPr>
        <w:t xml:space="preserve">новленным настоящим договором, </w:t>
      </w:r>
      <w:r w:rsidRPr="00EE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 допустимой </w:t>
      </w:r>
      <w:r w:rsidRPr="00346602">
        <w:rPr>
          <w:sz w:val="28"/>
          <w:szCs w:val="28"/>
        </w:rPr>
        <w:t>мощностью, на напряжении, согласно технически</w:t>
      </w:r>
      <w:r>
        <w:rPr>
          <w:sz w:val="28"/>
          <w:szCs w:val="28"/>
        </w:rPr>
        <w:t xml:space="preserve">х </w:t>
      </w:r>
      <w:r w:rsidRPr="00346602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п</w:t>
      </w:r>
      <w:r w:rsidRPr="00346602">
        <w:rPr>
          <w:sz w:val="28"/>
          <w:szCs w:val="28"/>
        </w:rPr>
        <w:t xml:space="preserve">о </w:t>
      </w:r>
      <w:r w:rsidRPr="00346602">
        <w:rPr>
          <w:sz w:val="28"/>
          <w:szCs w:val="28"/>
          <w:lang w:val="en-US"/>
        </w:rPr>
        <w:t>III</w:t>
      </w:r>
      <w:r w:rsidRPr="00346602">
        <w:rPr>
          <w:sz w:val="28"/>
          <w:szCs w:val="28"/>
        </w:rPr>
        <w:t xml:space="preserve"> категории надежности к своим электрическим сетям при условии соблюдения «Заказчиком</w:t>
      </w:r>
      <w:r>
        <w:rPr>
          <w:sz w:val="28"/>
          <w:szCs w:val="28"/>
        </w:rPr>
        <w:t>»</w:t>
      </w:r>
      <w:r w:rsidRPr="00346602">
        <w:rPr>
          <w:sz w:val="28"/>
          <w:szCs w:val="28"/>
        </w:rPr>
        <w:t xml:space="preserve"> Правил технологического </w:t>
      </w:r>
      <w:r w:rsidRPr="00346602">
        <w:rPr>
          <w:spacing w:val="-2"/>
          <w:sz w:val="28"/>
          <w:szCs w:val="28"/>
        </w:rPr>
        <w:t>присоединения энергоприниматощигх устройств (энергетических установок) юридически</w:t>
      </w:r>
      <w:r>
        <w:rPr>
          <w:spacing w:val="-2"/>
          <w:sz w:val="28"/>
          <w:szCs w:val="28"/>
        </w:rPr>
        <w:t>х</w:t>
      </w:r>
      <w:r w:rsidRPr="00346602">
        <w:rPr>
          <w:spacing w:val="-2"/>
          <w:sz w:val="28"/>
          <w:szCs w:val="28"/>
        </w:rPr>
        <w:t xml:space="preserve"> и физических ли</w:t>
      </w:r>
      <w:r>
        <w:rPr>
          <w:spacing w:val="-2"/>
          <w:sz w:val="28"/>
          <w:szCs w:val="28"/>
        </w:rPr>
        <w:t>ц</w:t>
      </w:r>
      <w:r w:rsidRPr="00346602">
        <w:rPr>
          <w:spacing w:val="-2"/>
          <w:sz w:val="28"/>
          <w:szCs w:val="28"/>
        </w:rPr>
        <w:t xml:space="preserve"> к </w:t>
      </w:r>
      <w:r w:rsidRPr="00346602">
        <w:rPr>
          <w:sz w:val="28"/>
          <w:szCs w:val="28"/>
        </w:rPr>
        <w:t>электрическим сетям, у</w:t>
      </w:r>
      <w:r>
        <w:rPr>
          <w:sz w:val="28"/>
          <w:szCs w:val="28"/>
        </w:rPr>
        <w:t>т</w:t>
      </w:r>
      <w:r w:rsidRPr="00346602">
        <w:rPr>
          <w:sz w:val="28"/>
          <w:szCs w:val="28"/>
        </w:rPr>
        <w:t>вержденн</w:t>
      </w:r>
      <w:r>
        <w:rPr>
          <w:sz w:val="28"/>
          <w:szCs w:val="28"/>
        </w:rPr>
        <w:t>ых</w:t>
      </w:r>
      <w:r w:rsidRPr="00346602">
        <w:rPr>
          <w:sz w:val="28"/>
          <w:szCs w:val="28"/>
        </w:rPr>
        <w:t xml:space="preserve"> Постановлением Правительства РФ от </w:t>
      </w:r>
      <w:r w:rsidRPr="00346602">
        <w:rPr>
          <w:spacing w:val="12"/>
          <w:sz w:val="28"/>
          <w:szCs w:val="28"/>
        </w:rPr>
        <w:t>27.12.04</w:t>
      </w:r>
      <w:r w:rsidRPr="008641E7">
        <w:rPr>
          <w:sz w:val="28"/>
          <w:szCs w:val="28"/>
        </w:rPr>
        <w:t>г.</w:t>
      </w:r>
      <w:r>
        <w:rPr>
          <w:sz w:val="28"/>
          <w:szCs w:val="28"/>
          <w:vertAlign w:val="superscript"/>
        </w:rPr>
        <w:t xml:space="preserve"> </w:t>
      </w:r>
      <w:r w:rsidRPr="008641E7">
        <w:rPr>
          <w:sz w:val="28"/>
          <w:szCs w:val="28"/>
        </w:rPr>
        <w:t>№861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далее</w:t>
      </w:r>
      <w:r w:rsidRPr="00346602">
        <w:rPr>
          <w:sz w:val="28"/>
          <w:szCs w:val="28"/>
        </w:rPr>
        <w:t xml:space="preserve"> Правила)</w:t>
      </w:r>
      <w:r>
        <w:rPr>
          <w:sz w:val="28"/>
          <w:szCs w:val="28"/>
        </w:rPr>
        <w:t xml:space="preserve"> и Акта разграничения балансовой принадлежности</w:t>
      </w:r>
      <w:r w:rsidRPr="00346602">
        <w:rPr>
          <w:sz w:val="28"/>
          <w:szCs w:val="28"/>
        </w:rPr>
        <w:t>, а «Заказчик</w:t>
      </w:r>
      <w:r>
        <w:rPr>
          <w:sz w:val="28"/>
          <w:szCs w:val="28"/>
        </w:rPr>
        <w:t>»</w:t>
      </w:r>
      <w:r w:rsidRPr="00346602">
        <w:rPr>
          <w:sz w:val="28"/>
          <w:szCs w:val="28"/>
        </w:rPr>
        <w:t xml:space="preserve"> обязуется оплатить работы по технологическому присоединению 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Осуществлять проверки соблюдения Заказчиком порядка технологического присоединения в течение всего срока действия договора.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случае, если в ходе  проверки соблюдения Заказчиком порядка технологического присоединения будет обнаружено нарушение порядка технологического присоединения или присоединения энергопринимающих устройств, не соответствующих условиям договора, составить двухсторонний Акт о нарушении правил</w:t>
      </w:r>
      <w:r w:rsidRPr="0056258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порядка технологического присоединения и, обязав сторону виновную в нарушении порядка технологического присоединения  исправить выявленные нарушения.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случае неоднократного нарушения порядка технологического присоединения Исполнитель вправе отключить Заказчика, уведомив за 3 (три) дня.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Своевременно осуществлять комплекс профилактических работ и мероприятий по содержанию в надлежащем состоянии электрических сетей, энергопринимающих устройств, расчетных приборов и средств учета, принадлежащих Исполнителю.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Незамедлительно информировать Заказчика об аварийных ситуациях в электрических сетях, влияющих на исполнение обязательств по настоящему  договору.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Согласовывать с Заказчиком сроки и продолжительность отключений или ограничений передачи электрической энергии для проведения плановых и неотложных работ по ремонту электросетевого оборудования.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Обеспечивать беспрепятственный допуск представителей Заказчика в пункты контроля и учета переданной электрической энергии.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Извещать Заказчика о неисправностях в работе и замене расчетных приборов и средств учета количества переданной </w:t>
      </w:r>
      <w:r>
        <w:rPr>
          <w:spacing w:val="-1"/>
          <w:sz w:val="28"/>
          <w:szCs w:val="28"/>
        </w:rPr>
        <w:lastRenderedPageBreak/>
        <w:t>электрической энергии.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  <w:tab w:val="left" w:pos="851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Представлять Заказчику ежемесячно до 5 числа месяца, следующего за отчетным, для согласования «Акт приемки-передачи оказанных услуг».</w:t>
      </w:r>
    </w:p>
    <w:p w:rsidR="002B2FC3" w:rsidRDefault="002B2FC3" w:rsidP="00614A8F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2B2FC3" w:rsidRDefault="002B2FC3" w:rsidP="00614A8F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pacing w:val="-1"/>
          <w:sz w:val="28"/>
          <w:szCs w:val="28"/>
        </w:rPr>
      </w:pPr>
      <w:r w:rsidRPr="00EE1A3D">
        <w:rPr>
          <w:spacing w:val="-1"/>
          <w:sz w:val="28"/>
          <w:szCs w:val="28"/>
        </w:rPr>
        <w:t>Заказчик обязуется</w:t>
      </w:r>
      <w:r>
        <w:rPr>
          <w:spacing w:val="-1"/>
          <w:sz w:val="28"/>
          <w:szCs w:val="28"/>
        </w:rPr>
        <w:t xml:space="preserve">: 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hanging="10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Подписать Акт разграничения балансовой принадлеж</w:t>
      </w:r>
      <w:r w:rsidR="00307D4F">
        <w:rPr>
          <w:spacing w:val="-1"/>
          <w:sz w:val="28"/>
          <w:szCs w:val="28"/>
        </w:rPr>
        <w:t>ности.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Обеспечивать доступ уполномоченных представителей Исполнителя к энергопринимающим устройствам Заказчика для проведения технического осмотра (обследования) присоединенных энергопринимающих устройств.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Своевременно осуществлять комплекс профилактических работ и мероприятий по содержанию в надлежащем состоянии электрических сетей, энергопринимающих устройств.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Незамедлительно информировать Исполнителя об аварийных ситуациях в электрических сетях, влияющих на исполнение обязательств по настоящему договору.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ind w:left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Выполнять требования технических условий.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Потреблят</w:t>
      </w:r>
      <w:r w:rsidR="00307D4F">
        <w:rPr>
          <w:spacing w:val="-1"/>
          <w:sz w:val="28"/>
          <w:szCs w:val="28"/>
        </w:rPr>
        <w:t>ь мощность не более разрешенной</w:t>
      </w:r>
      <w:r>
        <w:rPr>
          <w:spacing w:val="-1"/>
          <w:sz w:val="28"/>
          <w:szCs w:val="28"/>
        </w:rPr>
        <w:t>.</w:t>
      </w:r>
    </w:p>
    <w:p w:rsidR="002B2FC3" w:rsidRDefault="002B2FC3" w:rsidP="00614A8F">
      <w:pPr>
        <w:widowControl w:val="0"/>
        <w:numPr>
          <w:ilvl w:val="2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Обеспечивать надлежащее техническое состояние и безопасность эксплуатируемых сетей, приборов и оборудования, соблюдать установленный режим потребления электроэнергии.</w:t>
      </w:r>
    </w:p>
    <w:p w:rsidR="002F18BB" w:rsidRDefault="008B3897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F85A81" w:rsidRDefault="002F18BB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F85A81">
        <w:rPr>
          <w:spacing w:val="-1"/>
          <w:sz w:val="28"/>
          <w:szCs w:val="28"/>
        </w:rPr>
        <w:t>Возможность подачи заявки на осуществление технологического присоединения энергопринимающих устройств есть.</w:t>
      </w:r>
    </w:p>
    <w:p w:rsidR="00307D4F" w:rsidRDefault="00F85A81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Обработка заявок на технологическое присоединение к электрическим сетям происходит </w:t>
      </w:r>
      <w:r w:rsidR="00792D7C">
        <w:rPr>
          <w:spacing w:val="-1"/>
          <w:sz w:val="28"/>
          <w:szCs w:val="28"/>
        </w:rPr>
        <w:t>согласно установленному регламенту, в установленные законодательством сроки.</w:t>
      </w:r>
    </w:p>
    <w:p w:rsidR="00733289" w:rsidRDefault="002F18BB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33289">
        <w:rPr>
          <w:spacing w:val="-1"/>
          <w:sz w:val="28"/>
          <w:szCs w:val="28"/>
        </w:rPr>
        <w:t xml:space="preserve">Инвестиционных программ и проектов инвестиционных программ </w:t>
      </w:r>
      <w:r w:rsidR="0049125A">
        <w:rPr>
          <w:spacing w:val="-1"/>
          <w:sz w:val="28"/>
          <w:szCs w:val="28"/>
        </w:rPr>
        <w:t>в 201</w:t>
      </w:r>
      <w:r w:rsidR="0040669A">
        <w:rPr>
          <w:spacing w:val="-1"/>
          <w:sz w:val="28"/>
          <w:szCs w:val="28"/>
        </w:rPr>
        <w:t>5г</w:t>
      </w:r>
      <w:r w:rsidR="0049125A">
        <w:rPr>
          <w:spacing w:val="-1"/>
          <w:sz w:val="28"/>
          <w:szCs w:val="28"/>
        </w:rPr>
        <w:t>.</w:t>
      </w:r>
      <w:r w:rsidR="0040669A">
        <w:rPr>
          <w:spacing w:val="-1"/>
          <w:sz w:val="28"/>
          <w:szCs w:val="28"/>
        </w:rPr>
        <w:t xml:space="preserve"> нет.</w:t>
      </w:r>
    </w:p>
    <w:p w:rsidR="00DC28CD" w:rsidRDefault="002F18BB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B28FB">
        <w:rPr>
          <w:spacing w:val="-1"/>
          <w:sz w:val="28"/>
          <w:szCs w:val="28"/>
        </w:rPr>
        <w:t>Приобретение, стоимость и объемы товаров, необходимых для оказания услуг по пере</w:t>
      </w:r>
      <w:r>
        <w:rPr>
          <w:spacing w:val="-1"/>
          <w:sz w:val="28"/>
          <w:szCs w:val="28"/>
        </w:rPr>
        <w:t xml:space="preserve">даче электроэнергии производится </w:t>
      </w:r>
      <w:r w:rsidR="00DC28CD">
        <w:rPr>
          <w:spacing w:val="-1"/>
          <w:sz w:val="28"/>
          <w:szCs w:val="28"/>
        </w:rPr>
        <w:t xml:space="preserve">в соответствии с </w:t>
      </w:r>
      <w:r>
        <w:rPr>
          <w:spacing w:val="-1"/>
          <w:sz w:val="28"/>
          <w:szCs w:val="28"/>
        </w:rPr>
        <w:t>Положени</w:t>
      </w:r>
      <w:r w:rsidR="00303B8C">
        <w:rPr>
          <w:spacing w:val="-1"/>
          <w:sz w:val="28"/>
          <w:szCs w:val="28"/>
        </w:rPr>
        <w:t xml:space="preserve">ем </w:t>
      </w:r>
      <w:r w:rsidR="00DC28CD">
        <w:rPr>
          <w:spacing w:val="-1"/>
          <w:sz w:val="28"/>
          <w:szCs w:val="28"/>
        </w:rPr>
        <w:t>«</w:t>
      </w:r>
      <w:r w:rsidR="00303B8C">
        <w:rPr>
          <w:spacing w:val="-1"/>
          <w:sz w:val="28"/>
          <w:szCs w:val="28"/>
        </w:rPr>
        <w:t>О поряд</w:t>
      </w:r>
      <w:r w:rsidR="00DC28CD">
        <w:rPr>
          <w:spacing w:val="-1"/>
          <w:sz w:val="28"/>
          <w:szCs w:val="28"/>
        </w:rPr>
        <w:t>к</w:t>
      </w:r>
      <w:r w:rsidR="00303B8C">
        <w:rPr>
          <w:spacing w:val="-1"/>
          <w:sz w:val="28"/>
          <w:szCs w:val="28"/>
        </w:rPr>
        <w:t>е</w:t>
      </w:r>
      <w:r w:rsidR="00DC28CD">
        <w:rPr>
          <w:spacing w:val="-1"/>
          <w:sz w:val="28"/>
          <w:szCs w:val="28"/>
        </w:rPr>
        <w:t xml:space="preserve"> </w:t>
      </w:r>
      <w:r w:rsidR="001B5BAE">
        <w:rPr>
          <w:spacing w:val="-1"/>
          <w:sz w:val="28"/>
          <w:szCs w:val="28"/>
        </w:rPr>
        <w:t>размещения заказов на закупку товаров, выполнение работ, оказания услуг для осуществлен</w:t>
      </w:r>
      <w:r w:rsidR="0040669A">
        <w:rPr>
          <w:spacing w:val="-1"/>
          <w:sz w:val="28"/>
          <w:szCs w:val="28"/>
        </w:rPr>
        <w:t xml:space="preserve">ия основных видов деятельности </w:t>
      </w:r>
      <w:r w:rsidR="001B5BAE">
        <w:rPr>
          <w:spacing w:val="-1"/>
          <w:sz w:val="28"/>
          <w:szCs w:val="28"/>
        </w:rPr>
        <w:t>АО «ЕВРОЦЕМЕНТ груп», его филиалов и дочерних обществ</w:t>
      </w:r>
      <w:r w:rsidR="00DC28CD">
        <w:rPr>
          <w:spacing w:val="-1"/>
          <w:sz w:val="28"/>
          <w:szCs w:val="28"/>
        </w:rPr>
        <w:t>».</w:t>
      </w:r>
    </w:p>
    <w:p w:rsidR="002F18BB" w:rsidRDefault="002F18BB" w:rsidP="00614A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Лиц, намеревающихся перераспределить  максимальную мощность принадлежащих им энергопринимающих устройств в пользу иных лиц, нет.</w:t>
      </w:r>
    </w:p>
    <w:sectPr w:rsidR="002F18BB" w:rsidSect="0076319E">
      <w:footerReference w:type="default" r:id="rId8"/>
      <w:headerReference w:type="first" r:id="rId9"/>
      <w:pgSz w:w="16838" w:h="11906" w:orient="landscape"/>
      <w:pgMar w:top="568" w:right="568" w:bottom="709" w:left="709" w:header="426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FE" w:rsidRDefault="00FF10FE" w:rsidP="00357AE0">
      <w:r>
        <w:separator/>
      </w:r>
    </w:p>
  </w:endnote>
  <w:endnote w:type="continuationSeparator" w:id="0">
    <w:p w:rsidR="00FF10FE" w:rsidRDefault="00FF10FE" w:rsidP="0035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212227"/>
      <w:docPartObj>
        <w:docPartGallery w:val="Page Numbers (Bottom of Page)"/>
        <w:docPartUnique/>
      </w:docPartObj>
    </w:sdtPr>
    <w:sdtContent>
      <w:p w:rsidR="00E44162" w:rsidRDefault="000419A1">
        <w:pPr>
          <w:pStyle w:val="a7"/>
          <w:jc w:val="right"/>
        </w:pPr>
        <w:fldSimple w:instr=" PAGE   \* MERGEFORMAT ">
          <w:r w:rsidR="0076319E" w:rsidRPr="0076319E">
            <w:rPr>
              <w:noProof/>
              <w:sz w:val="20"/>
              <w:szCs w:val="20"/>
            </w:rPr>
            <w:t>2</w:t>
          </w:r>
        </w:fldSimple>
      </w:p>
    </w:sdtContent>
  </w:sdt>
  <w:p w:rsidR="00E44162" w:rsidRDefault="00E441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FE" w:rsidRDefault="00FF10FE" w:rsidP="00357AE0">
      <w:r>
        <w:separator/>
      </w:r>
    </w:p>
  </w:footnote>
  <w:footnote w:type="continuationSeparator" w:id="0">
    <w:p w:rsidR="00FF10FE" w:rsidRDefault="00FF10FE" w:rsidP="0035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88" w:rsidRDefault="0076319E" w:rsidP="0076319E">
    <w:pPr>
      <w:pStyle w:val="a5"/>
      <w:jc w:val="center"/>
    </w:pPr>
    <w:r>
      <w:rPr>
        <w:noProof/>
      </w:rPr>
      <w:drawing>
        <wp:inline distT="0" distB="0" distL="0" distR="0">
          <wp:extent cx="5819775" cy="10953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4788" w:rsidRDefault="005A47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310"/>
    <w:multiLevelType w:val="multilevel"/>
    <w:tmpl w:val="D9F08B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">
    <w:nsid w:val="39257DD0"/>
    <w:multiLevelType w:val="multilevel"/>
    <w:tmpl w:val="DDD4B1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>
    <w:nsid w:val="42C072E0"/>
    <w:multiLevelType w:val="hybridMultilevel"/>
    <w:tmpl w:val="5C2EA6A2"/>
    <w:lvl w:ilvl="0" w:tplc="C8E4781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936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103E93"/>
    <w:multiLevelType w:val="multilevel"/>
    <w:tmpl w:val="BE36BA7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7C92434F"/>
    <w:multiLevelType w:val="multilevel"/>
    <w:tmpl w:val="0B2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B54"/>
    <w:rsid w:val="00027EE3"/>
    <w:rsid w:val="000419A1"/>
    <w:rsid w:val="000757BB"/>
    <w:rsid w:val="00086DF9"/>
    <w:rsid w:val="00087750"/>
    <w:rsid w:val="0009598D"/>
    <w:rsid w:val="000B6A86"/>
    <w:rsid w:val="000D409E"/>
    <w:rsid w:val="000F4626"/>
    <w:rsid w:val="00112914"/>
    <w:rsid w:val="00131497"/>
    <w:rsid w:val="0015040C"/>
    <w:rsid w:val="00156A5C"/>
    <w:rsid w:val="00160401"/>
    <w:rsid w:val="00165703"/>
    <w:rsid w:val="00167B93"/>
    <w:rsid w:val="001761D8"/>
    <w:rsid w:val="00182786"/>
    <w:rsid w:val="001844C3"/>
    <w:rsid w:val="001A25B4"/>
    <w:rsid w:val="001B5BAE"/>
    <w:rsid w:val="001E22D6"/>
    <w:rsid w:val="001E4503"/>
    <w:rsid w:val="001F162B"/>
    <w:rsid w:val="002262B0"/>
    <w:rsid w:val="00237E2B"/>
    <w:rsid w:val="002A5B43"/>
    <w:rsid w:val="002B2FC3"/>
    <w:rsid w:val="002E116C"/>
    <w:rsid w:val="002F18BB"/>
    <w:rsid w:val="00301A7D"/>
    <w:rsid w:val="00303B8C"/>
    <w:rsid w:val="00307D4F"/>
    <w:rsid w:val="003112B7"/>
    <w:rsid w:val="00317070"/>
    <w:rsid w:val="00333F9E"/>
    <w:rsid w:val="00354D01"/>
    <w:rsid w:val="00357AE0"/>
    <w:rsid w:val="00364DF9"/>
    <w:rsid w:val="00371662"/>
    <w:rsid w:val="00396A4E"/>
    <w:rsid w:val="003A0715"/>
    <w:rsid w:val="003A0DC3"/>
    <w:rsid w:val="003C1402"/>
    <w:rsid w:val="0040669A"/>
    <w:rsid w:val="00413AD7"/>
    <w:rsid w:val="00417A5E"/>
    <w:rsid w:val="00420117"/>
    <w:rsid w:val="004406B7"/>
    <w:rsid w:val="00474BFE"/>
    <w:rsid w:val="00476ADF"/>
    <w:rsid w:val="0048192A"/>
    <w:rsid w:val="0049125A"/>
    <w:rsid w:val="004A6C06"/>
    <w:rsid w:val="004E2EE7"/>
    <w:rsid w:val="004F484D"/>
    <w:rsid w:val="005157F9"/>
    <w:rsid w:val="00526B54"/>
    <w:rsid w:val="00534768"/>
    <w:rsid w:val="00547232"/>
    <w:rsid w:val="00550425"/>
    <w:rsid w:val="005569B9"/>
    <w:rsid w:val="00562CF2"/>
    <w:rsid w:val="005723CD"/>
    <w:rsid w:val="005765AE"/>
    <w:rsid w:val="00583012"/>
    <w:rsid w:val="005A4788"/>
    <w:rsid w:val="005D7447"/>
    <w:rsid w:val="005D78DC"/>
    <w:rsid w:val="005E6159"/>
    <w:rsid w:val="00603B64"/>
    <w:rsid w:val="00610224"/>
    <w:rsid w:val="00612A06"/>
    <w:rsid w:val="00614A8F"/>
    <w:rsid w:val="00633B16"/>
    <w:rsid w:val="00644205"/>
    <w:rsid w:val="0065469E"/>
    <w:rsid w:val="00655044"/>
    <w:rsid w:val="0068564B"/>
    <w:rsid w:val="006926E7"/>
    <w:rsid w:val="006A15D8"/>
    <w:rsid w:val="00723269"/>
    <w:rsid w:val="00732A01"/>
    <w:rsid w:val="00733289"/>
    <w:rsid w:val="007358CF"/>
    <w:rsid w:val="00737299"/>
    <w:rsid w:val="0076319E"/>
    <w:rsid w:val="007727BD"/>
    <w:rsid w:val="00776C29"/>
    <w:rsid w:val="00785806"/>
    <w:rsid w:val="00792D7C"/>
    <w:rsid w:val="007A5AEC"/>
    <w:rsid w:val="007B0C1A"/>
    <w:rsid w:val="007B3E61"/>
    <w:rsid w:val="007C55C4"/>
    <w:rsid w:val="007F1F64"/>
    <w:rsid w:val="00833FEB"/>
    <w:rsid w:val="00845994"/>
    <w:rsid w:val="008752E6"/>
    <w:rsid w:val="008B3897"/>
    <w:rsid w:val="008D07C1"/>
    <w:rsid w:val="008E5A2C"/>
    <w:rsid w:val="008F4E8A"/>
    <w:rsid w:val="009134B0"/>
    <w:rsid w:val="0094012E"/>
    <w:rsid w:val="009602B7"/>
    <w:rsid w:val="00964C93"/>
    <w:rsid w:val="00973C76"/>
    <w:rsid w:val="009951F0"/>
    <w:rsid w:val="009A1F9F"/>
    <w:rsid w:val="009A4717"/>
    <w:rsid w:val="009A6762"/>
    <w:rsid w:val="009B3744"/>
    <w:rsid w:val="009D2636"/>
    <w:rsid w:val="009E1306"/>
    <w:rsid w:val="009E164D"/>
    <w:rsid w:val="009F0FD8"/>
    <w:rsid w:val="00A10C18"/>
    <w:rsid w:val="00A25C19"/>
    <w:rsid w:val="00A463FB"/>
    <w:rsid w:val="00AB4AF9"/>
    <w:rsid w:val="00AB586C"/>
    <w:rsid w:val="00AC7C5D"/>
    <w:rsid w:val="00B145F3"/>
    <w:rsid w:val="00B24CC8"/>
    <w:rsid w:val="00B36723"/>
    <w:rsid w:val="00B57623"/>
    <w:rsid w:val="00B64B00"/>
    <w:rsid w:val="00B77C66"/>
    <w:rsid w:val="00B83214"/>
    <w:rsid w:val="00B939E2"/>
    <w:rsid w:val="00BA2D06"/>
    <w:rsid w:val="00BB28FB"/>
    <w:rsid w:val="00BB3443"/>
    <w:rsid w:val="00BE6A60"/>
    <w:rsid w:val="00BF02D1"/>
    <w:rsid w:val="00C14098"/>
    <w:rsid w:val="00C23657"/>
    <w:rsid w:val="00C36A10"/>
    <w:rsid w:val="00C441DE"/>
    <w:rsid w:val="00C76231"/>
    <w:rsid w:val="00C810D7"/>
    <w:rsid w:val="00C83FB1"/>
    <w:rsid w:val="00C87545"/>
    <w:rsid w:val="00C96FEE"/>
    <w:rsid w:val="00CD2C63"/>
    <w:rsid w:val="00CE4AB5"/>
    <w:rsid w:val="00D1125C"/>
    <w:rsid w:val="00D35DBE"/>
    <w:rsid w:val="00D469F0"/>
    <w:rsid w:val="00D46A43"/>
    <w:rsid w:val="00D53109"/>
    <w:rsid w:val="00D65BDD"/>
    <w:rsid w:val="00D73209"/>
    <w:rsid w:val="00D97541"/>
    <w:rsid w:val="00D9761C"/>
    <w:rsid w:val="00DA0BC0"/>
    <w:rsid w:val="00DA5FEE"/>
    <w:rsid w:val="00DC28CD"/>
    <w:rsid w:val="00DF712D"/>
    <w:rsid w:val="00E44162"/>
    <w:rsid w:val="00E6312F"/>
    <w:rsid w:val="00E97C38"/>
    <w:rsid w:val="00EA2475"/>
    <w:rsid w:val="00EA3137"/>
    <w:rsid w:val="00EB039D"/>
    <w:rsid w:val="00EB0E61"/>
    <w:rsid w:val="00ED2E18"/>
    <w:rsid w:val="00EF3B45"/>
    <w:rsid w:val="00F42369"/>
    <w:rsid w:val="00F57B43"/>
    <w:rsid w:val="00F85A81"/>
    <w:rsid w:val="00F94152"/>
    <w:rsid w:val="00F950BA"/>
    <w:rsid w:val="00F96E68"/>
    <w:rsid w:val="00FF10FE"/>
    <w:rsid w:val="00FF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16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57A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7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7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4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46E1"/>
    <w:rsid w:val="000D46E1"/>
    <w:rsid w:val="00E7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36E82232649BF844F75C4672965EA">
    <w:name w:val="B7336E82232649BF844F75C4672965EA"/>
    <w:rsid w:val="000D46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8FC3649-0C6E-4291-8839-3B814ED3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lipevp1</dc:creator>
  <cp:keywords/>
  <dc:description/>
  <cp:lastModifiedBy>Панов</cp:lastModifiedBy>
  <cp:revision>2</cp:revision>
  <cp:lastPrinted>2014-05-05T07:02:00Z</cp:lastPrinted>
  <dcterms:created xsi:type="dcterms:W3CDTF">2016-02-20T11:14:00Z</dcterms:created>
  <dcterms:modified xsi:type="dcterms:W3CDTF">2016-02-24T04:55:00Z</dcterms:modified>
</cp:coreProperties>
</file>